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FCA0D">
      <w:pPr>
        <w:pStyle w:val="19"/>
        <w:framePr w:wrap="auto" w:vAnchor="margin" w:hAnchor="text" w:yAlign="inline"/>
        <w:spacing w:line="360" w:lineRule="auto"/>
        <w:jc w:val="center"/>
        <w:rPr>
          <w:rFonts w:ascii="仿宋" w:hAnsi="仿宋" w:eastAsia="仿宋" w:cs="仿宋"/>
          <w:b/>
          <w:bCs/>
          <w:color w:val="auto"/>
          <w:sz w:val="32"/>
          <w:szCs w:val="32"/>
          <w:highlight w:val="none"/>
          <w:shd w:val="clear" w:color="auto" w:fill="auto"/>
          <w:lang w:val="zh-TW" w:eastAsia="zh-TW"/>
        </w:rPr>
      </w:pPr>
      <w:r>
        <w:rPr>
          <w:rFonts w:ascii="仿宋" w:hAnsi="仿宋" w:eastAsia="仿宋" w:cs="仿宋"/>
          <w:b/>
          <w:bCs/>
          <w:color w:val="auto"/>
          <w:sz w:val="40"/>
          <w:szCs w:val="40"/>
          <w:highlight w:val="none"/>
          <w:shd w:val="clear" w:color="auto" w:fill="auto"/>
          <w:lang w:val="zh-TW" w:eastAsia="zh-TW"/>
        </w:rPr>
        <w:t>复旦大学附属中山医院厦门医院</w:t>
      </w:r>
    </w:p>
    <w:p w14:paraId="59AFEC02">
      <w:pPr>
        <w:pStyle w:val="19"/>
        <w:framePr w:wrap="auto" w:vAnchor="margin" w:hAnchor="text" w:yAlign="inline"/>
        <w:spacing w:line="360" w:lineRule="auto"/>
        <w:jc w:val="center"/>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医疗设备</w:t>
      </w:r>
      <w:r>
        <w:rPr>
          <w:rFonts w:ascii="仿宋" w:hAnsi="仿宋" w:eastAsia="仿宋" w:cs="仿宋"/>
          <w:b/>
          <w:bCs/>
          <w:color w:val="auto"/>
          <w:sz w:val="32"/>
          <w:szCs w:val="32"/>
          <w:highlight w:val="none"/>
          <w:shd w:val="clear" w:color="auto" w:fill="auto"/>
          <w:lang w:val="zh-TW" w:eastAsia="zh-TW"/>
        </w:rPr>
        <w:t>比价公告</w:t>
      </w:r>
    </w:p>
    <w:p w14:paraId="3B31917A">
      <w:pPr>
        <w:pStyle w:val="19"/>
        <w:framePr w:wrap="auto" w:vAnchor="margin" w:hAnchor="text" w:yAlign="inline"/>
        <w:spacing w:line="360" w:lineRule="auto"/>
        <w:jc w:val="center"/>
        <w:rPr>
          <w:rFonts w:ascii="仿宋" w:hAnsi="仿宋" w:eastAsia="仿宋" w:cs="仿宋"/>
          <w:b/>
          <w:bCs/>
          <w:color w:val="auto"/>
          <w:sz w:val="32"/>
          <w:szCs w:val="32"/>
          <w:highlight w:val="none"/>
          <w:shd w:val="clear" w:color="auto" w:fill="auto"/>
        </w:rPr>
      </w:pPr>
    </w:p>
    <w:p w14:paraId="7BC15A1A">
      <w:pPr>
        <w:pStyle w:val="19"/>
        <w:framePr w:wrap="auto" w:vAnchor="margin" w:hAnchor="text" w:yAlign="inline"/>
        <w:spacing w:line="360" w:lineRule="auto"/>
        <w:jc w:val="center"/>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项目名称：</w:t>
      </w:r>
      <w:r>
        <w:rPr>
          <w:rFonts w:hint="eastAsia" w:ascii="仿宋" w:hAnsi="仿宋" w:eastAsia="仿宋" w:cs="仿宋"/>
          <w:b/>
          <w:bCs/>
          <w:color w:val="auto"/>
          <w:sz w:val="28"/>
          <w:szCs w:val="28"/>
          <w:highlight w:val="none"/>
          <w:shd w:val="clear" w:color="auto" w:fill="auto"/>
          <w:lang w:val="en-US" w:eastAsia="zh-CN"/>
        </w:rPr>
        <w:t>生物安全柜</w:t>
      </w:r>
    </w:p>
    <w:p w14:paraId="18181566">
      <w:pPr>
        <w:pStyle w:val="19"/>
        <w:framePr w:wrap="auto" w:vAnchor="margin" w:hAnchor="text" w:yAlign="inline"/>
        <w:spacing w:line="360" w:lineRule="auto"/>
        <w:jc w:val="center"/>
        <w:rPr>
          <w:rFonts w:ascii="仿宋" w:hAnsi="仿宋" w:eastAsia="仿宋" w:cs="仿宋"/>
          <w:b/>
          <w:bCs/>
          <w:color w:val="auto"/>
          <w:sz w:val="24"/>
          <w:szCs w:val="24"/>
          <w:highlight w:val="none"/>
          <w:shd w:val="clear" w:color="auto" w:fill="auto"/>
        </w:rPr>
      </w:pPr>
      <w:r>
        <w:rPr>
          <w:rFonts w:ascii="仿宋" w:hAnsi="仿宋" w:eastAsia="仿宋" w:cs="仿宋"/>
          <w:b/>
          <w:bCs/>
          <w:color w:val="auto"/>
          <w:sz w:val="28"/>
          <w:szCs w:val="28"/>
          <w:highlight w:val="none"/>
          <w:shd w:val="clear" w:color="auto" w:fill="auto"/>
          <w:lang w:val="zh-TW" w:eastAsia="zh-TW"/>
        </w:rPr>
        <w:t>项目编号：</w:t>
      </w:r>
      <w:r>
        <w:rPr>
          <w:rFonts w:hint="eastAsia" w:ascii="仿宋" w:hAnsi="仿宋" w:eastAsia="仿宋" w:cs="仿宋"/>
          <w:b/>
          <w:bCs/>
          <w:color w:val="auto"/>
          <w:sz w:val="28"/>
          <w:szCs w:val="28"/>
          <w:highlight w:val="none"/>
          <w:shd w:val="clear" w:color="auto" w:fill="auto"/>
        </w:rPr>
        <w:t>2025004-BJ-SWAQG</w:t>
      </w:r>
    </w:p>
    <w:p w14:paraId="20CF4B3D">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lang w:val="zh-TW" w:eastAsia="zh-TW"/>
        </w:rPr>
      </w:pPr>
      <w:r>
        <w:rPr>
          <w:rFonts w:ascii="仿宋" w:hAnsi="仿宋" w:eastAsia="仿宋" w:cs="仿宋"/>
          <w:b/>
          <w:bCs/>
          <w:color w:val="auto"/>
          <w:sz w:val="44"/>
          <w:szCs w:val="44"/>
          <w:highlight w:val="none"/>
          <w:shd w:val="clear" w:color="auto" w:fill="auto"/>
          <w:lang w:val="zh-TW" w:eastAsia="zh-TW"/>
        </w:rPr>
        <w:t>比价文件</w:t>
      </w:r>
    </w:p>
    <w:p w14:paraId="4943D15D">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761E46F">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6E8A9F74">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D255989">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7EDA1D13">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02FCEBA7">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3C3DA4E9">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C678387">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26B0698B">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5E93FD06">
      <w:pPr>
        <w:pStyle w:val="19"/>
        <w:framePr w:wrap="auto" w:vAnchor="margin" w:hAnchor="text" w:yAlign="inline"/>
        <w:spacing w:line="360" w:lineRule="auto"/>
        <w:jc w:val="center"/>
        <w:rPr>
          <w:rFonts w:ascii="仿宋" w:hAnsi="仿宋" w:eastAsia="仿宋" w:cs="仿宋"/>
          <w:b/>
          <w:bCs/>
          <w:color w:val="auto"/>
          <w:sz w:val="44"/>
          <w:szCs w:val="44"/>
          <w:highlight w:val="none"/>
          <w:shd w:val="clear" w:color="auto" w:fill="auto"/>
        </w:rPr>
      </w:pPr>
    </w:p>
    <w:p w14:paraId="0FE4A470">
      <w:pPr>
        <w:pStyle w:val="19"/>
        <w:framePr w:wrap="auto" w:vAnchor="margin" w:hAnchor="text" w:yAlign="inline"/>
        <w:spacing w:line="360" w:lineRule="auto"/>
        <w:jc w:val="center"/>
        <w:rPr>
          <w:rFonts w:ascii="仿宋" w:hAnsi="仿宋" w:eastAsia="仿宋" w:cs="仿宋"/>
          <w:b/>
          <w:bCs/>
          <w:color w:val="auto"/>
          <w:sz w:val="28"/>
          <w:szCs w:val="28"/>
          <w:highlight w:val="none"/>
          <w:shd w:val="clear" w:color="auto" w:fill="auto"/>
          <w:lang w:val="zh-TW" w:eastAsia="zh-TW"/>
        </w:rPr>
      </w:pPr>
      <w:r>
        <w:rPr>
          <w:rFonts w:ascii="仿宋" w:hAnsi="仿宋" w:eastAsia="仿宋" w:cs="仿宋"/>
          <w:b/>
          <w:bCs/>
          <w:color w:val="auto"/>
          <w:sz w:val="28"/>
          <w:szCs w:val="28"/>
          <w:highlight w:val="none"/>
          <w:shd w:val="clear" w:color="auto" w:fill="auto"/>
          <w:lang w:val="zh-TW" w:eastAsia="zh-TW"/>
        </w:rPr>
        <w:t>采购人：复旦大学附属中山医院厦门医院</w:t>
      </w:r>
    </w:p>
    <w:p w14:paraId="334A4159">
      <w:pPr>
        <w:pStyle w:val="19"/>
        <w:framePr w:wrap="auto" w:vAnchor="margin" w:hAnchor="text" w:yAlign="inline"/>
        <w:spacing w:line="360" w:lineRule="auto"/>
        <w:jc w:val="center"/>
        <w:rPr>
          <w:color w:val="auto"/>
          <w:highlight w:val="none"/>
          <w:shd w:val="clear" w:color="auto" w:fill="auto"/>
        </w:rPr>
        <w:sectPr>
          <w:headerReference r:id="rId3" w:type="default"/>
          <w:footerReference r:id="rId4" w:type="default"/>
          <w:pgSz w:w="11900" w:h="16840"/>
          <w:pgMar w:top="1440" w:right="1800" w:bottom="1440" w:left="1800" w:header="851" w:footer="992" w:gutter="0"/>
          <w:cols w:space="720" w:num="1"/>
        </w:sectPr>
      </w:pPr>
      <w:r>
        <w:rPr>
          <w:rFonts w:ascii="仿宋" w:hAnsi="仿宋" w:eastAsia="仿宋" w:cs="仿宋"/>
          <w:b/>
          <w:bCs/>
          <w:color w:val="auto"/>
          <w:sz w:val="28"/>
          <w:szCs w:val="28"/>
          <w:highlight w:val="none"/>
          <w:shd w:val="clear" w:color="auto" w:fill="auto"/>
        </w:rPr>
        <w:t>20</w:t>
      </w:r>
      <w:r>
        <w:rPr>
          <w:rFonts w:hint="eastAsia" w:ascii="仿宋" w:hAnsi="仿宋" w:eastAsia="仿宋" w:cs="仿宋"/>
          <w:b/>
          <w:bCs/>
          <w:color w:val="auto"/>
          <w:sz w:val="28"/>
          <w:szCs w:val="28"/>
          <w:highlight w:val="none"/>
          <w:shd w:val="clear" w:color="auto" w:fill="auto"/>
        </w:rPr>
        <w:t>2</w:t>
      </w:r>
      <w:r>
        <w:rPr>
          <w:rFonts w:ascii="仿宋" w:hAnsi="仿宋" w:eastAsia="仿宋" w:cs="仿宋"/>
          <w:b/>
          <w:bCs/>
          <w:color w:val="auto"/>
          <w:sz w:val="28"/>
          <w:szCs w:val="28"/>
          <w:highlight w:val="none"/>
          <w:shd w:val="clear" w:color="auto" w:fill="auto"/>
        </w:rPr>
        <w:t>5</w:t>
      </w:r>
      <w:r>
        <w:rPr>
          <w:rFonts w:ascii="仿宋" w:hAnsi="仿宋" w:eastAsia="仿宋" w:cs="仿宋"/>
          <w:b/>
          <w:bCs/>
          <w:color w:val="auto"/>
          <w:sz w:val="28"/>
          <w:szCs w:val="28"/>
          <w:highlight w:val="none"/>
          <w:shd w:val="clear" w:color="auto" w:fill="auto"/>
          <w:lang w:val="zh-TW" w:eastAsia="zh-TW"/>
        </w:rPr>
        <w:t>年</w:t>
      </w:r>
      <w:r>
        <w:rPr>
          <w:rFonts w:hint="eastAsia" w:ascii="仿宋" w:hAnsi="仿宋" w:eastAsia="仿宋" w:cs="仿宋"/>
          <w:b/>
          <w:bCs/>
          <w:color w:val="auto"/>
          <w:sz w:val="28"/>
          <w:szCs w:val="28"/>
          <w:highlight w:val="none"/>
          <w:shd w:val="clear" w:color="auto" w:fill="auto"/>
          <w:lang w:val="en-US" w:eastAsia="zh-CN"/>
        </w:rPr>
        <w:t>7</w:t>
      </w:r>
      <w:r>
        <w:rPr>
          <w:rFonts w:ascii="仿宋" w:hAnsi="仿宋" w:eastAsia="仿宋" w:cs="仿宋"/>
          <w:b/>
          <w:bCs/>
          <w:color w:val="auto"/>
          <w:sz w:val="28"/>
          <w:szCs w:val="28"/>
          <w:highlight w:val="none"/>
          <w:shd w:val="clear" w:color="auto" w:fill="auto"/>
          <w:lang w:val="zh-TW" w:eastAsia="zh-TW"/>
        </w:rPr>
        <w:t>月</w:t>
      </w:r>
      <w:r>
        <w:rPr>
          <w:rFonts w:hint="eastAsia" w:ascii="仿宋" w:hAnsi="仿宋" w:eastAsia="仿宋" w:cs="仿宋"/>
          <w:b/>
          <w:bCs/>
          <w:color w:val="auto"/>
          <w:sz w:val="28"/>
          <w:szCs w:val="28"/>
          <w:highlight w:val="none"/>
          <w:shd w:val="clear" w:color="auto" w:fill="auto"/>
          <w:lang w:val="en-US" w:eastAsia="zh-CN"/>
        </w:rPr>
        <w:t>9</w:t>
      </w:r>
      <w:r>
        <w:rPr>
          <w:rFonts w:ascii="仿宋" w:hAnsi="仿宋" w:eastAsia="仿宋" w:cs="仿宋"/>
          <w:b/>
          <w:bCs/>
          <w:color w:val="auto"/>
          <w:sz w:val="28"/>
          <w:szCs w:val="28"/>
          <w:highlight w:val="none"/>
          <w:shd w:val="clear" w:color="auto" w:fill="auto"/>
          <w:lang w:val="zh-TW" w:eastAsia="zh-TW"/>
        </w:rPr>
        <w:t>日</w:t>
      </w:r>
    </w:p>
    <w:p w14:paraId="6592453C">
      <w:pPr>
        <w:pStyle w:val="19"/>
        <w:framePr w:wrap="auto" w:vAnchor="margin" w:hAnchor="text" w:yAlign="inline"/>
        <w:spacing w:line="360" w:lineRule="auto"/>
        <w:jc w:val="center"/>
        <w:rPr>
          <w:rFonts w:ascii="仿宋" w:hAnsi="仿宋" w:eastAsia="仿宋" w:cs="仿宋"/>
          <w:b/>
          <w:bCs/>
          <w:color w:val="auto"/>
          <w:sz w:val="24"/>
          <w:szCs w:val="24"/>
          <w:highlight w:val="none"/>
          <w:shd w:val="clear" w:color="auto" w:fill="auto"/>
          <w:lang w:val="zh-TW" w:eastAsia="zh-TW"/>
        </w:rPr>
      </w:pPr>
      <w:r>
        <w:rPr>
          <w:rFonts w:ascii="仿宋" w:hAnsi="仿宋" w:eastAsia="仿宋" w:cs="仿宋"/>
          <w:b/>
          <w:bCs/>
          <w:color w:val="auto"/>
          <w:sz w:val="24"/>
          <w:szCs w:val="24"/>
          <w:highlight w:val="none"/>
          <w:shd w:val="clear" w:color="auto" w:fill="auto"/>
          <w:lang w:val="zh-TW" w:eastAsia="zh-TW"/>
        </w:rPr>
        <w:t>第</w:t>
      </w:r>
      <w:r>
        <w:rPr>
          <w:rFonts w:hint="eastAsia" w:ascii="仿宋" w:hAnsi="仿宋" w:eastAsia="仿宋" w:cs="仿宋"/>
          <w:b/>
          <w:bCs/>
          <w:color w:val="auto"/>
          <w:sz w:val="24"/>
          <w:szCs w:val="24"/>
          <w:highlight w:val="none"/>
          <w:shd w:val="clear" w:color="auto" w:fill="auto"/>
        </w:rPr>
        <w:t>一</w:t>
      </w:r>
      <w:r>
        <w:rPr>
          <w:rFonts w:ascii="仿宋" w:hAnsi="仿宋" w:eastAsia="仿宋" w:cs="仿宋"/>
          <w:b/>
          <w:bCs/>
          <w:color w:val="auto"/>
          <w:sz w:val="24"/>
          <w:szCs w:val="24"/>
          <w:highlight w:val="none"/>
          <w:shd w:val="clear" w:color="auto" w:fill="auto"/>
          <w:lang w:val="zh-TW" w:eastAsia="zh-TW"/>
        </w:rPr>
        <w:t>章 供应商须知</w:t>
      </w:r>
    </w:p>
    <w:p w14:paraId="753E7E8C">
      <w:pPr>
        <w:pStyle w:val="19"/>
        <w:framePr w:wrap="auto" w:vAnchor="margin" w:hAnchor="text" w:yAlign="inline"/>
        <w:spacing w:line="360" w:lineRule="auto"/>
        <w:rPr>
          <w:rFonts w:ascii="仿宋" w:hAnsi="仿宋" w:eastAsia="仿宋" w:cs="仿宋"/>
          <w:b/>
          <w:bCs/>
          <w:color w:val="auto"/>
          <w:sz w:val="24"/>
          <w:szCs w:val="24"/>
          <w:highlight w:val="none"/>
          <w:shd w:val="clear" w:color="auto" w:fill="auto"/>
          <w:lang w:val="zh-TW" w:eastAsia="zh-TW"/>
        </w:rPr>
      </w:pPr>
      <w:r>
        <w:rPr>
          <w:rFonts w:ascii="仿宋" w:hAnsi="仿宋" w:eastAsia="仿宋" w:cs="仿宋"/>
          <w:b/>
          <w:bCs/>
          <w:color w:val="auto"/>
          <w:sz w:val="24"/>
          <w:szCs w:val="24"/>
          <w:highlight w:val="none"/>
          <w:shd w:val="clear" w:color="auto" w:fill="auto"/>
          <w:lang w:val="zh-TW" w:eastAsia="zh-TW"/>
        </w:rPr>
        <w:t>一、 总则</w:t>
      </w:r>
    </w:p>
    <w:p w14:paraId="141B2250">
      <w:pPr>
        <w:pStyle w:val="19"/>
        <w:framePr w:wrap="auto" w:vAnchor="margin" w:hAnchor="text" w:yAlign="inline"/>
        <w:spacing w:line="360" w:lineRule="auto"/>
        <w:rPr>
          <w:rFonts w:hint="eastAsia" w:ascii="仿宋" w:hAnsi="仿宋" w:eastAsia="仿宋" w:cs="仿宋"/>
          <w:color w:val="auto"/>
          <w:sz w:val="24"/>
          <w:szCs w:val="24"/>
          <w:highlight w:val="none"/>
          <w:shd w:val="clear" w:color="auto" w:fill="auto"/>
          <w:lang w:eastAsia="zh-CN"/>
        </w:rPr>
      </w:pPr>
      <w:r>
        <w:rPr>
          <w:rFonts w:ascii="仿宋" w:hAnsi="仿宋" w:eastAsia="仿宋" w:cs="仿宋"/>
          <w:color w:val="auto"/>
          <w:sz w:val="24"/>
          <w:szCs w:val="24"/>
          <w:highlight w:val="none"/>
          <w:shd w:val="clear" w:color="auto" w:fill="auto"/>
          <w:lang w:val="zh-TW" w:eastAsia="zh-TW"/>
        </w:rPr>
        <w:t>（一） 项目名称：</w:t>
      </w:r>
      <w:r>
        <w:rPr>
          <w:rFonts w:hint="eastAsia" w:ascii="仿宋" w:hAnsi="仿宋" w:eastAsia="仿宋" w:cs="仿宋"/>
          <w:color w:val="auto"/>
          <w:sz w:val="24"/>
          <w:szCs w:val="24"/>
          <w:highlight w:val="none"/>
          <w:shd w:val="clear" w:color="auto" w:fill="auto"/>
          <w:lang w:val="en-US" w:eastAsia="zh-CN"/>
        </w:rPr>
        <w:t>生物安全柜</w:t>
      </w:r>
    </w:p>
    <w:p w14:paraId="0913E74B">
      <w:pPr>
        <w:pStyle w:val="19"/>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ascii="仿宋" w:hAnsi="仿宋" w:eastAsia="仿宋" w:cs="仿宋"/>
          <w:color w:val="auto"/>
          <w:sz w:val="24"/>
          <w:szCs w:val="24"/>
          <w:highlight w:val="none"/>
          <w:shd w:val="clear" w:color="auto" w:fill="auto"/>
          <w:lang w:val="zh-TW" w:eastAsia="zh-TW"/>
        </w:rPr>
        <w:t>（二） 项目内容：</w:t>
      </w:r>
      <w:r>
        <w:rPr>
          <w:rFonts w:hint="eastAsia" w:ascii="仿宋" w:hAnsi="仿宋" w:eastAsia="仿宋" w:cs="仿宋"/>
          <w:color w:val="auto"/>
          <w:sz w:val="24"/>
          <w:szCs w:val="24"/>
          <w:highlight w:val="none"/>
          <w:shd w:val="clear" w:color="auto" w:fill="auto"/>
          <w:lang w:val="en-US" w:eastAsia="zh-CN"/>
        </w:rPr>
        <w:t>生物安全柜</w:t>
      </w:r>
      <w:r>
        <w:rPr>
          <w:rFonts w:hint="eastAsia" w:ascii="仿宋" w:hAnsi="仿宋" w:eastAsia="仿宋" w:cs="仿宋"/>
          <w:color w:val="auto"/>
          <w:sz w:val="24"/>
          <w:szCs w:val="24"/>
          <w:highlight w:val="none"/>
          <w:shd w:val="clear" w:color="auto" w:fill="auto"/>
          <w:lang w:val="zh-TW" w:eastAsia="zh-TW"/>
        </w:rPr>
        <w:t>采购</w:t>
      </w:r>
      <w:r>
        <w:rPr>
          <w:rFonts w:ascii="仿宋" w:hAnsi="仿宋" w:eastAsia="仿宋" w:cs="仿宋"/>
          <w:color w:val="auto"/>
          <w:sz w:val="24"/>
          <w:szCs w:val="24"/>
          <w:highlight w:val="none"/>
          <w:shd w:val="clear" w:color="auto" w:fill="auto"/>
          <w:lang w:val="zh-TW" w:eastAsia="zh-TW"/>
        </w:rPr>
        <w:t>。项目地址位于厦门市湖里区金湖路</w:t>
      </w:r>
      <w:r>
        <w:rPr>
          <w:rFonts w:ascii="仿宋" w:hAnsi="仿宋" w:eastAsia="仿宋" w:cs="仿宋"/>
          <w:color w:val="auto"/>
          <w:sz w:val="24"/>
          <w:szCs w:val="24"/>
          <w:highlight w:val="none"/>
          <w:shd w:val="clear" w:color="auto" w:fill="auto"/>
        </w:rPr>
        <w:t>668</w:t>
      </w:r>
      <w:r>
        <w:rPr>
          <w:rFonts w:ascii="仿宋" w:hAnsi="仿宋" w:eastAsia="仿宋" w:cs="仿宋"/>
          <w:color w:val="auto"/>
          <w:sz w:val="24"/>
          <w:szCs w:val="24"/>
          <w:highlight w:val="none"/>
          <w:shd w:val="clear" w:color="auto" w:fill="auto"/>
          <w:lang w:val="zh-TW" w:eastAsia="zh-TW"/>
        </w:rPr>
        <w:t>号复旦大学附属中山医院厦门医院，本项目采购总控制价为人民币</w:t>
      </w:r>
      <w:r>
        <w:rPr>
          <w:rFonts w:ascii="仿宋" w:hAnsi="仿宋" w:eastAsia="仿宋" w:cs="仿宋"/>
          <w:color w:val="auto"/>
          <w:sz w:val="24"/>
          <w:szCs w:val="24"/>
          <w:highlight w:val="none"/>
          <w:shd w:val="clear" w:color="auto" w:fill="auto"/>
        </w:rPr>
        <w:t>1</w:t>
      </w:r>
      <w:r>
        <w:rPr>
          <w:rFonts w:hint="eastAsia" w:ascii="仿宋" w:hAnsi="仿宋" w:eastAsia="仿宋" w:cs="仿宋"/>
          <w:color w:val="auto"/>
          <w:sz w:val="24"/>
          <w:szCs w:val="24"/>
          <w:highlight w:val="none"/>
          <w:shd w:val="clear" w:color="auto" w:fill="auto"/>
          <w:lang w:val="en-US" w:eastAsia="zh-CN"/>
        </w:rPr>
        <w:t>6</w:t>
      </w:r>
      <w:r>
        <w:rPr>
          <w:rFonts w:ascii="仿宋" w:hAnsi="仿宋" w:eastAsia="仿宋" w:cs="仿宋"/>
          <w:color w:val="auto"/>
          <w:sz w:val="24"/>
          <w:szCs w:val="24"/>
          <w:highlight w:val="none"/>
          <w:shd w:val="clear" w:color="auto" w:fill="auto"/>
          <w:lang w:val="zh-TW" w:eastAsia="zh-TW"/>
        </w:rPr>
        <w:t>万元。</w:t>
      </w:r>
    </w:p>
    <w:p w14:paraId="0507B799">
      <w:pPr>
        <w:pStyle w:val="19"/>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ascii="仿宋" w:hAnsi="仿宋" w:eastAsia="仿宋" w:cs="仿宋"/>
          <w:color w:val="auto"/>
          <w:sz w:val="24"/>
          <w:szCs w:val="24"/>
          <w:highlight w:val="none"/>
          <w:shd w:val="clear" w:color="auto" w:fill="auto"/>
          <w:lang w:val="zh-TW" w:eastAsia="zh-TW"/>
        </w:rPr>
        <w:t>（三） 项目最高限价：人民币</w:t>
      </w:r>
      <w:r>
        <w:rPr>
          <w:rFonts w:ascii="仿宋" w:hAnsi="仿宋" w:eastAsia="仿宋" w:cs="仿宋"/>
          <w:color w:val="auto"/>
          <w:sz w:val="24"/>
          <w:szCs w:val="24"/>
          <w:highlight w:val="none"/>
          <w:shd w:val="clear" w:color="auto" w:fill="auto"/>
        </w:rPr>
        <w:t>1</w:t>
      </w:r>
      <w:r>
        <w:rPr>
          <w:rFonts w:hint="eastAsia" w:ascii="仿宋" w:hAnsi="仿宋" w:eastAsia="仿宋" w:cs="仿宋"/>
          <w:color w:val="auto"/>
          <w:sz w:val="24"/>
          <w:szCs w:val="24"/>
          <w:highlight w:val="none"/>
          <w:shd w:val="clear" w:color="auto" w:fill="auto"/>
          <w:lang w:val="en-US" w:eastAsia="zh-CN"/>
        </w:rPr>
        <w:t>6</w:t>
      </w:r>
      <w:r>
        <w:rPr>
          <w:rFonts w:ascii="仿宋" w:hAnsi="仿宋" w:eastAsia="仿宋" w:cs="仿宋"/>
          <w:color w:val="auto"/>
          <w:sz w:val="24"/>
          <w:szCs w:val="24"/>
          <w:highlight w:val="none"/>
          <w:shd w:val="clear" w:color="auto" w:fill="auto"/>
          <w:lang w:val="zh-TW" w:eastAsia="zh-TW"/>
        </w:rPr>
        <w:t>万元，报价均不得超过最高限价，否则视为无效报价。</w:t>
      </w:r>
    </w:p>
    <w:p w14:paraId="2D93F613">
      <w:pPr>
        <w:pStyle w:val="19"/>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ascii="仿宋" w:hAnsi="仿宋" w:eastAsia="仿宋" w:cs="仿宋"/>
          <w:color w:val="auto"/>
          <w:sz w:val="24"/>
          <w:szCs w:val="24"/>
          <w:highlight w:val="none"/>
          <w:shd w:val="clear" w:color="auto" w:fill="auto"/>
          <w:lang w:val="zh-TW" w:eastAsia="zh-TW"/>
        </w:rPr>
        <w:t>（四） 本次比价不接受联合体</w:t>
      </w:r>
    </w:p>
    <w:p w14:paraId="4147C8D2">
      <w:pPr>
        <w:pStyle w:val="19"/>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ascii="仿宋" w:hAnsi="仿宋" w:eastAsia="仿宋" w:cs="仿宋"/>
          <w:color w:val="auto"/>
          <w:sz w:val="24"/>
          <w:szCs w:val="24"/>
          <w:highlight w:val="none"/>
          <w:shd w:val="clear" w:color="auto" w:fill="auto"/>
          <w:lang w:val="zh-TW" w:eastAsia="zh-TW"/>
        </w:rPr>
        <w:t>（五） 本次比价允许进口产品参加</w:t>
      </w:r>
    </w:p>
    <w:p w14:paraId="1D7C36AB">
      <w:pPr>
        <w:pStyle w:val="19"/>
        <w:framePr w:wrap="auto" w:vAnchor="margin" w:hAnchor="text" w:yAlign="inline"/>
        <w:spacing w:line="360" w:lineRule="auto"/>
        <w:rPr>
          <w:rFonts w:ascii="仿宋" w:hAnsi="仿宋" w:eastAsia="仿宋" w:cs="仿宋"/>
          <w:b/>
          <w:bCs/>
          <w:color w:val="auto"/>
          <w:sz w:val="24"/>
          <w:szCs w:val="24"/>
          <w:highlight w:val="none"/>
          <w:shd w:val="clear" w:color="auto" w:fill="auto"/>
        </w:rPr>
      </w:pPr>
      <w:r>
        <w:rPr>
          <w:rFonts w:ascii="仿宋" w:hAnsi="仿宋" w:eastAsia="仿宋" w:cs="仿宋"/>
          <w:b/>
          <w:bCs/>
          <w:color w:val="auto"/>
          <w:sz w:val="24"/>
          <w:szCs w:val="24"/>
          <w:highlight w:val="none"/>
          <w:shd w:val="clear" w:color="auto" w:fill="auto"/>
          <w:lang w:val="zh-TW" w:eastAsia="zh-TW"/>
        </w:rPr>
        <w:t>二、</w:t>
      </w:r>
      <w:r>
        <w:rPr>
          <w:rFonts w:ascii="仿宋" w:hAnsi="仿宋" w:eastAsia="仿宋" w:cs="仿宋"/>
          <w:b/>
          <w:bCs/>
          <w:color w:val="auto"/>
          <w:sz w:val="24"/>
          <w:szCs w:val="24"/>
          <w:highlight w:val="none"/>
          <w:shd w:val="clear" w:color="auto" w:fill="auto"/>
        </w:rPr>
        <w:t xml:space="preserve"> </w:t>
      </w:r>
      <w:r>
        <w:rPr>
          <w:rFonts w:ascii="仿宋" w:hAnsi="仿宋" w:eastAsia="仿宋" w:cs="仿宋"/>
          <w:b/>
          <w:bCs/>
          <w:color w:val="auto"/>
          <w:sz w:val="24"/>
          <w:szCs w:val="24"/>
          <w:highlight w:val="none"/>
          <w:shd w:val="clear" w:color="auto" w:fill="auto"/>
          <w:lang w:val="zh-TW" w:eastAsia="zh-TW"/>
        </w:rPr>
        <w:t>资格要求</w:t>
      </w:r>
    </w:p>
    <w:p w14:paraId="382EB026">
      <w:pPr>
        <w:pStyle w:val="20"/>
        <w:rPr>
          <w:color w:val="auto"/>
          <w:highlight w:val="none"/>
          <w:shd w:val="clear" w:color="auto" w:fill="auto"/>
          <w:lang w:val="zh-TW"/>
        </w:rPr>
      </w:pPr>
      <w:r>
        <w:rPr>
          <w:color w:val="auto"/>
          <w:highlight w:val="none"/>
          <w:shd w:val="clear" w:color="auto" w:fill="auto"/>
          <w:lang w:val="zh-TW"/>
        </w:rPr>
        <w:t>（一）</w:t>
      </w:r>
      <w:r>
        <w:rPr>
          <w:rFonts w:hint="eastAsia"/>
          <w:color w:val="auto"/>
          <w:highlight w:val="none"/>
          <w:shd w:val="clear" w:color="auto" w:fill="auto"/>
          <w:lang w:val="zh-TW"/>
        </w:rPr>
        <w:t>法人或者其他组织的营业执照等证明文件，自然人的身份证明；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color w:val="auto"/>
          <w:highlight w:val="none"/>
          <w:shd w:val="clear" w:color="auto" w:fill="auto"/>
          <w:lang w:val="zh-TW"/>
        </w:rPr>
        <w:t>。</w:t>
      </w:r>
    </w:p>
    <w:p w14:paraId="0E40D405">
      <w:pPr>
        <w:pStyle w:val="20"/>
        <w:rPr>
          <w:color w:val="auto"/>
          <w:highlight w:val="none"/>
          <w:shd w:val="clear" w:color="auto" w:fill="auto"/>
          <w:lang w:val="zh-TW"/>
        </w:rPr>
      </w:pPr>
      <w:r>
        <w:rPr>
          <w:color w:val="auto"/>
          <w:highlight w:val="none"/>
          <w:shd w:val="clear" w:color="auto" w:fill="auto"/>
          <w:lang w:val="zh-TW"/>
        </w:rPr>
        <w:t>（二）</w:t>
      </w:r>
      <w:r>
        <w:rPr>
          <w:rFonts w:hint="eastAsia"/>
          <w:color w:val="auto"/>
          <w:highlight w:val="none"/>
          <w:shd w:val="clear" w:color="auto" w:fill="auto"/>
          <w:lang w:val="zh-TW"/>
        </w:rPr>
        <w:t>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或提供承诺函</w:t>
      </w:r>
      <w:r>
        <w:rPr>
          <w:color w:val="auto"/>
          <w:highlight w:val="none"/>
          <w:shd w:val="clear" w:color="auto" w:fill="auto"/>
          <w:lang w:val="zh-TW"/>
        </w:rPr>
        <w:t>。</w:t>
      </w:r>
    </w:p>
    <w:p w14:paraId="60BDB909">
      <w:pPr>
        <w:pStyle w:val="20"/>
        <w:rPr>
          <w:rFonts w:eastAsia="PMingLiU"/>
          <w:color w:val="auto"/>
          <w:highlight w:val="none"/>
          <w:shd w:val="clear" w:color="auto" w:fill="auto"/>
          <w:lang w:val="zh-TW"/>
        </w:rPr>
      </w:pPr>
      <w:r>
        <w:rPr>
          <w:color w:val="auto"/>
          <w:highlight w:val="none"/>
          <w:shd w:val="clear" w:color="auto" w:fill="auto"/>
          <w:lang w:val="zh-TW"/>
        </w:rPr>
        <w:t>（三）</w:t>
      </w:r>
      <w:r>
        <w:rPr>
          <w:rFonts w:hint="eastAsia"/>
          <w:color w:val="auto"/>
          <w:highlight w:val="none"/>
          <w:shd w:val="clear" w:color="auto" w:fill="auto"/>
          <w:lang w:val="zh-TW"/>
        </w:rPr>
        <w:t>依法缴纳税收的相关材料：</w:t>
      </w:r>
    </w:p>
    <w:p w14:paraId="59DD416E">
      <w:pPr>
        <w:pStyle w:val="20"/>
        <w:rPr>
          <w:rFonts w:eastAsia="PMingLiU"/>
          <w:color w:val="auto"/>
          <w:highlight w:val="none"/>
          <w:shd w:val="clear" w:color="auto" w:fill="auto"/>
          <w:lang w:val="zh-TW"/>
        </w:rPr>
      </w:pPr>
      <w:r>
        <w:rPr>
          <w:rFonts w:hint="eastAsia"/>
          <w:color w:val="auto"/>
          <w:highlight w:val="none"/>
          <w:shd w:val="clear" w:color="auto" w:fill="auto"/>
          <w:lang w:val="zh-TW"/>
        </w:rPr>
        <w:t xml:space="preserve">3.1投标截止时间前（不含投标截止时间的当月）已依法缴纳税收的投标人，提供投标截止时间前六个月（不含投标截止时间的当月）中任一月份的税收凭据复印件。 </w:t>
      </w:r>
    </w:p>
    <w:p w14:paraId="774E62DF">
      <w:pPr>
        <w:pStyle w:val="20"/>
        <w:rPr>
          <w:rFonts w:eastAsia="PMingLiU"/>
          <w:color w:val="auto"/>
          <w:highlight w:val="none"/>
          <w:shd w:val="clear" w:color="auto" w:fill="auto"/>
          <w:lang w:val="zh-TW"/>
        </w:rPr>
      </w:pPr>
      <w:r>
        <w:rPr>
          <w:rFonts w:hint="eastAsia"/>
          <w:color w:val="auto"/>
          <w:highlight w:val="none"/>
          <w:shd w:val="clear" w:color="auto" w:fill="auto"/>
          <w:lang w:val="zh-TW"/>
        </w:rPr>
        <w:t xml:space="preserve">3.2投标截止时间的当月成立且已依法缴纳税收的投标人，提供投标截止时间当月的税收凭据复印件。 </w:t>
      </w:r>
    </w:p>
    <w:p w14:paraId="4FDAFFD2">
      <w:pPr>
        <w:pStyle w:val="20"/>
        <w:rPr>
          <w:rFonts w:eastAsia="PMingLiU"/>
          <w:color w:val="auto"/>
          <w:highlight w:val="none"/>
          <w:shd w:val="clear" w:color="auto" w:fill="auto"/>
          <w:lang w:val="zh-TW"/>
        </w:rPr>
      </w:pPr>
      <w:r>
        <w:rPr>
          <w:rFonts w:hint="eastAsia"/>
          <w:color w:val="auto"/>
          <w:highlight w:val="none"/>
          <w:shd w:val="clear" w:color="auto" w:fill="auto"/>
          <w:lang w:val="zh-TW"/>
        </w:rPr>
        <w:t>3.3投标截止时间的当月成立但因税务机关原因导致其尚未依法缴纳税收的投标人，提供依法缴纳税收承诺书原件（格式自拟），该承诺书视同税收凭据。</w:t>
      </w:r>
    </w:p>
    <w:p w14:paraId="1E765D4F">
      <w:pPr>
        <w:pStyle w:val="20"/>
        <w:rPr>
          <w:color w:val="auto"/>
          <w:highlight w:val="none"/>
          <w:shd w:val="clear" w:color="auto" w:fill="auto"/>
          <w:lang w:val="zh-TW"/>
        </w:rPr>
      </w:pPr>
      <w:r>
        <w:rPr>
          <w:rFonts w:hint="eastAsia"/>
          <w:color w:val="auto"/>
          <w:highlight w:val="none"/>
          <w:shd w:val="clear" w:color="auto" w:fill="auto"/>
          <w:lang w:val="zh-TW"/>
        </w:rPr>
        <w:t>3.4“依法缴纳税收证明材料”有欠缴记录的，视为未依法缴纳税收，或提供承诺函</w:t>
      </w:r>
      <w:r>
        <w:rPr>
          <w:color w:val="auto"/>
          <w:highlight w:val="none"/>
          <w:shd w:val="clear" w:color="auto" w:fill="auto"/>
          <w:lang w:val="zh-TW"/>
        </w:rPr>
        <w:t>。</w:t>
      </w:r>
    </w:p>
    <w:p w14:paraId="30F4E822">
      <w:pPr>
        <w:pStyle w:val="20"/>
        <w:rPr>
          <w:rFonts w:eastAsia="PMingLiU"/>
          <w:color w:val="auto"/>
          <w:highlight w:val="none"/>
          <w:shd w:val="clear" w:color="auto" w:fill="auto"/>
          <w:lang w:val="zh-TW"/>
        </w:rPr>
      </w:pPr>
      <w:r>
        <w:rPr>
          <w:color w:val="auto"/>
          <w:highlight w:val="none"/>
          <w:shd w:val="clear" w:color="auto" w:fill="auto"/>
          <w:lang w:val="zh-TW"/>
        </w:rPr>
        <w:t>（四）</w:t>
      </w:r>
      <w:r>
        <w:rPr>
          <w:rFonts w:hint="eastAsia"/>
          <w:color w:val="auto"/>
          <w:highlight w:val="none"/>
          <w:shd w:val="clear" w:color="auto" w:fill="auto"/>
          <w:lang w:val="zh-TW"/>
        </w:rPr>
        <w:t>依法缴纳社会保障资金的相关材料：</w:t>
      </w:r>
    </w:p>
    <w:p w14:paraId="0756CB80">
      <w:pPr>
        <w:pStyle w:val="20"/>
        <w:rPr>
          <w:rFonts w:eastAsia="PMingLiU"/>
          <w:color w:val="auto"/>
          <w:highlight w:val="none"/>
          <w:shd w:val="clear" w:color="auto" w:fill="auto"/>
          <w:lang w:val="zh-TW"/>
        </w:rPr>
      </w:pPr>
      <w:r>
        <w:rPr>
          <w:rFonts w:hint="eastAsia"/>
          <w:color w:val="auto"/>
          <w:highlight w:val="none"/>
          <w:shd w:val="clear" w:color="auto" w:fill="auto"/>
          <w:lang w:val="zh-TW"/>
        </w:rPr>
        <w:t>4.1投标截止时间前（不含投标截止时间的当月）已依法缴纳社会保障资金的投标人，提供投标截止时间前六个月（不含投标截止时间的当月）中任一月份的社会保险凭据复印件。</w:t>
      </w:r>
    </w:p>
    <w:p w14:paraId="128E31AA">
      <w:pPr>
        <w:pStyle w:val="20"/>
        <w:rPr>
          <w:rFonts w:eastAsia="PMingLiU"/>
          <w:color w:val="auto"/>
          <w:highlight w:val="none"/>
          <w:shd w:val="clear" w:color="auto" w:fill="auto"/>
          <w:lang w:val="zh-TW"/>
        </w:rPr>
      </w:pPr>
      <w:r>
        <w:rPr>
          <w:rFonts w:hint="eastAsia"/>
          <w:color w:val="auto"/>
          <w:highlight w:val="none"/>
          <w:shd w:val="clear" w:color="auto" w:fill="auto"/>
          <w:lang w:val="zh-TW"/>
        </w:rPr>
        <w:t>4.2投标截止时间的当月成立且已依法缴纳社会保障资金的投标人，提供投标截止时间当月的社会保险凭据复印件。</w:t>
      </w:r>
    </w:p>
    <w:p w14:paraId="4B7951B8">
      <w:pPr>
        <w:pStyle w:val="20"/>
        <w:rPr>
          <w:rFonts w:eastAsia="PMingLiU"/>
          <w:color w:val="auto"/>
          <w:highlight w:val="none"/>
          <w:shd w:val="clear" w:color="auto" w:fill="auto"/>
          <w:lang w:val="zh-TW"/>
        </w:rPr>
      </w:pPr>
      <w:r>
        <w:rPr>
          <w:rFonts w:hint="eastAsia"/>
          <w:color w:val="auto"/>
          <w:highlight w:val="none"/>
          <w:shd w:val="clear" w:color="auto" w:fill="auto"/>
          <w:lang w:val="zh-TW"/>
        </w:rPr>
        <w:t>4.3投标截止时间的当月成立但因税务机关/社会保障资金管理机关原因导致其尚未依法缴纳社会保障资金的投标人，提供依法缴纳社会保障资金承诺书原件（格式自拟），该承诺书视同社会保险凭据。</w:t>
      </w:r>
    </w:p>
    <w:p w14:paraId="76DB3134">
      <w:pPr>
        <w:pStyle w:val="20"/>
        <w:rPr>
          <w:color w:val="auto"/>
          <w:highlight w:val="none"/>
          <w:shd w:val="clear" w:color="auto" w:fill="auto"/>
          <w:lang w:val="zh-TW"/>
        </w:rPr>
      </w:pPr>
      <w:r>
        <w:rPr>
          <w:rFonts w:hint="eastAsia"/>
          <w:color w:val="auto"/>
          <w:highlight w:val="none"/>
          <w:shd w:val="clear" w:color="auto" w:fill="auto"/>
          <w:lang w:val="zh-TW"/>
        </w:rPr>
        <w:t>4.4“依法缴纳社会保障资金证明材料”有欠缴记录的，视为未依法缴纳社会保障资金，或提供承诺函。</w:t>
      </w:r>
    </w:p>
    <w:p w14:paraId="601E2A00">
      <w:pPr>
        <w:pStyle w:val="20"/>
        <w:rPr>
          <w:color w:val="auto"/>
          <w:highlight w:val="none"/>
          <w:shd w:val="clear" w:color="auto" w:fill="auto"/>
          <w:lang w:val="zh-TW"/>
        </w:rPr>
      </w:pPr>
      <w:r>
        <w:rPr>
          <w:rFonts w:eastAsia="PMingLiU"/>
          <w:color w:val="auto"/>
          <w:highlight w:val="none"/>
          <w:shd w:val="clear" w:color="auto" w:fill="auto"/>
          <w:lang w:val="zh-TW"/>
        </w:rPr>
        <w:t>4.5</w:t>
      </w:r>
      <w:r>
        <w:rPr>
          <w:rFonts w:hint="eastAsia"/>
          <w:color w:val="auto"/>
          <w:highlight w:val="none"/>
          <w:shd w:val="clear" w:color="auto" w:fill="auto"/>
          <w:lang w:val="zh-TW"/>
        </w:rPr>
        <w:t>具备履行合同所必需的设备和专业技术能力的证明材料（可以提供证明材料或承诺书）</w:t>
      </w:r>
      <w:r>
        <w:rPr>
          <w:color w:val="auto"/>
          <w:highlight w:val="none"/>
          <w:shd w:val="clear" w:color="auto" w:fill="auto"/>
          <w:lang w:val="zh-TW"/>
        </w:rPr>
        <w:t>。</w:t>
      </w:r>
    </w:p>
    <w:p w14:paraId="262C3ACA">
      <w:pPr>
        <w:pStyle w:val="20"/>
        <w:rPr>
          <w:color w:val="auto"/>
          <w:highlight w:val="none"/>
          <w:shd w:val="clear" w:color="auto" w:fill="auto"/>
          <w:lang w:val="zh-TW"/>
        </w:rPr>
      </w:pPr>
      <w:r>
        <w:rPr>
          <w:color w:val="auto"/>
          <w:highlight w:val="none"/>
          <w:shd w:val="clear" w:color="auto" w:fill="auto"/>
          <w:lang w:val="zh-TW"/>
        </w:rPr>
        <w:t>（五）提供</w:t>
      </w:r>
      <w:r>
        <w:rPr>
          <w:color w:val="auto"/>
          <w:highlight w:val="none"/>
          <w:shd w:val="clear" w:color="auto" w:fill="auto"/>
        </w:rPr>
        <w:t>3</w:t>
      </w:r>
      <w:r>
        <w:rPr>
          <w:color w:val="auto"/>
          <w:highlight w:val="none"/>
          <w:shd w:val="clear" w:color="auto" w:fill="auto"/>
          <w:lang w:val="zh-TW"/>
        </w:rPr>
        <w:t>年内</w:t>
      </w:r>
      <w:r>
        <w:rPr>
          <w:rFonts w:hint="eastAsia"/>
          <w:color w:val="auto"/>
          <w:highlight w:val="none"/>
          <w:shd w:val="clear" w:color="auto" w:fill="auto"/>
          <w:lang w:val="zh-TW"/>
        </w:rPr>
        <w:t>在经营活动中没有重大违法记录、无行贿犯罪记录的书面声明</w:t>
      </w:r>
      <w:r>
        <w:rPr>
          <w:color w:val="auto"/>
          <w:highlight w:val="none"/>
          <w:shd w:val="clear" w:color="auto" w:fill="auto"/>
          <w:lang w:val="zh-TW"/>
        </w:rPr>
        <w:t>，不满足要求</w:t>
      </w:r>
      <w:r>
        <w:rPr>
          <w:rFonts w:hint="eastAsia"/>
          <w:color w:val="auto"/>
          <w:highlight w:val="none"/>
          <w:shd w:val="clear" w:color="auto" w:fill="auto"/>
        </w:rPr>
        <w:t>的或不按要求提供声明的</w:t>
      </w:r>
      <w:r>
        <w:rPr>
          <w:color w:val="auto"/>
          <w:highlight w:val="none"/>
          <w:shd w:val="clear" w:color="auto" w:fill="auto"/>
          <w:lang w:val="zh-TW"/>
        </w:rPr>
        <w:t>供应商将取消成交候选资格，认定为不合格响应供应商。</w:t>
      </w:r>
    </w:p>
    <w:p w14:paraId="523C1E07">
      <w:pPr>
        <w:pStyle w:val="20"/>
        <w:rPr>
          <w:color w:val="auto"/>
          <w:highlight w:val="none"/>
          <w:shd w:val="clear" w:color="auto" w:fill="auto"/>
          <w:lang w:val="zh-TW" w:eastAsia="zh-TW"/>
        </w:rPr>
      </w:pPr>
      <w:r>
        <w:rPr>
          <w:rFonts w:hint="eastAsia"/>
          <w:color w:val="auto"/>
          <w:highlight w:val="none"/>
          <w:shd w:val="clear" w:color="auto" w:fill="auto"/>
          <w:lang w:val="zh-TW" w:eastAsia="zh-TW"/>
        </w:rPr>
        <w:t>（</w:t>
      </w:r>
      <w:r>
        <w:rPr>
          <w:rFonts w:hint="eastAsia"/>
          <w:color w:val="auto"/>
          <w:highlight w:val="none"/>
          <w:shd w:val="clear" w:color="auto" w:fill="auto"/>
          <w:lang w:eastAsia="zh-TW"/>
        </w:rPr>
        <w:t>六</w:t>
      </w:r>
      <w:r>
        <w:rPr>
          <w:rFonts w:hint="eastAsia"/>
          <w:color w:val="auto"/>
          <w:highlight w:val="none"/>
          <w:shd w:val="clear" w:color="auto" w:fill="auto"/>
          <w:lang w:val="zh-TW" w:eastAsia="zh-TW"/>
        </w:rPr>
        <w:t>）</w:t>
      </w:r>
      <w:r>
        <w:rPr>
          <w:rFonts w:hint="eastAsia"/>
          <w:color w:val="auto"/>
          <w:highlight w:val="none"/>
          <w:shd w:val="clear" w:color="auto" w:fill="auto"/>
          <w:lang w:eastAsia="zh-TW"/>
        </w:rPr>
        <w:t>提供</w:t>
      </w:r>
      <w:r>
        <w:rPr>
          <w:rFonts w:hint="eastAsia"/>
          <w:color w:val="auto"/>
          <w:highlight w:val="none"/>
          <w:shd w:val="clear" w:color="auto" w:fill="auto"/>
          <w:lang w:val="zh-TW" w:eastAsia="zh-TW"/>
        </w:rPr>
        <w:t>信用记录查询，供应商无不良信用记录：</w:t>
      </w:r>
      <w:r>
        <w:rPr>
          <w:rFonts w:hint="eastAsia"/>
          <w:color w:val="auto"/>
          <w:highlight w:val="none"/>
          <w:shd w:val="clear" w:color="auto" w:fill="auto"/>
          <w:lang w:eastAsia="zh-TW"/>
        </w:rPr>
        <w:t>通过信用中国（www.creditchina.gov.cn）、中国政府采购网（www.ccgp.gov.cn）、信用中国（福建厦门）查询，截图并加盖公章，</w:t>
      </w:r>
      <w:r>
        <w:rPr>
          <w:color w:val="auto"/>
          <w:highlight w:val="none"/>
          <w:shd w:val="clear" w:color="auto" w:fill="auto"/>
          <w:lang w:val="zh-TW" w:eastAsia="zh-TW"/>
        </w:rPr>
        <w:t>不满足要求</w:t>
      </w:r>
      <w:r>
        <w:rPr>
          <w:rFonts w:hint="eastAsia"/>
          <w:color w:val="auto"/>
          <w:highlight w:val="none"/>
          <w:shd w:val="clear" w:color="auto" w:fill="auto"/>
          <w:lang w:eastAsia="zh-TW"/>
        </w:rPr>
        <w:t>的或不按要求提供声明的</w:t>
      </w:r>
      <w:r>
        <w:rPr>
          <w:color w:val="auto"/>
          <w:highlight w:val="none"/>
          <w:shd w:val="clear" w:color="auto" w:fill="auto"/>
          <w:lang w:val="zh-TW" w:eastAsia="zh-TW"/>
        </w:rPr>
        <w:t>供应商将取消成交候选资格，认定为不合格响应供应商。</w:t>
      </w:r>
    </w:p>
    <w:p w14:paraId="61FD9921">
      <w:pPr>
        <w:pStyle w:val="20"/>
        <w:rPr>
          <w:color w:val="auto"/>
          <w:highlight w:val="none"/>
          <w:shd w:val="clear" w:color="auto" w:fill="auto"/>
          <w:lang w:val="zh-TW"/>
        </w:rPr>
      </w:pPr>
      <w:r>
        <w:rPr>
          <w:rFonts w:hint="eastAsia"/>
          <w:color w:val="auto"/>
          <w:highlight w:val="none"/>
          <w:shd w:val="clear" w:color="auto" w:fill="auto"/>
          <w:lang w:val="zh-TW"/>
        </w:rPr>
        <w:t>（</w:t>
      </w:r>
      <w:r>
        <w:rPr>
          <w:rFonts w:hint="eastAsia"/>
          <w:color w:val="auto"/>
          <w:highlight w:val="none"/>
          <w:shd w:val="clear" w:color="auto" w:fill="auto"/>
        </w:rPr>
        <w:t>七</w:t>
      </w:r>
      <w:r>
        <w:rPr>
          <w:rFonts w:hint="eastAsia"/>
          <w:color w:val="auto"/>
          <w:highlight w:val="none"/>
          <w:shd w:val="clear" w:color="auto" w:fill="auto"/>
          <w:lang w:val="zh-TW"/>
        </w:rPr>
        <w:t>）</w:t>
      </w:r>
      <w:r>
        <w:rPr>
          <w:rFonts w:hint="eastAsia"/>
          <w:color w:val="auto"/>
          <w:highlight w:val="none"/>
          <w:shd w:val="clear" w:color="auto" w:fill="auto"/>
        </w:rPr>
        <w:t>报价人</w:t>
      </w:r>
      <w:r>
        <w:rPr>
          <w:rFonts w:hint="eastAsia"/>
          <w:color w:val="auto"/>
          <w:highlight w:val="none"/>
          <w:shd w:val="clear" w:color="auto" w:fill="auto"/>
          <w:lang w:val="zh-TW"/>
        </w:rPr>
        <w:t>须在</w:t>
      </w:r>
      <w:r>
        <w:rPr>
          <w:rFonts w:hint="eastAsia"/>
          <w:color w:val="auto"/>
          <w:highlight w:val="none"/>
          <w:shd w:val="clear" w:color="auto" w:fill="auto"/>
        </w:rPr>
        <w:t>比价</w:t>
      </w:r>
      <w:r>
        <w:rPr>
          <w:rFonts w:hint="eastAsia"/>
          <w:color w:val="auto"/>
          <w:highlight w:val="none"/>
          <w:shd w:val="clear" w:color="auto" w:fill="auto"/>
          <w:lang w:val="zh-TW"/>
        </w:rPr>
        <w:t>文件中提供有关真实技术资料及其符合国家相关规定的有效证明文件。国内</w:t>
      </w:r>
      <w:r>
        <w:rPr>
          <w:rFonts w:hint="eastAsia"/>
          <w:color w:val="auto"/>
          <w:highlight w:val="none"/>
          <w:shd w:val="clear" w:color="auto" w:fill="auto"/>
        </w:rPr>
        <w:t>报价人</w:t>
      </w:r>
      <w:r>
        <w:rPr>
          <w:rFonts w:hint="eastAsia"/>
          <w:color w:val="auto"/>
          <w:highlight w:val="none"/>
          <w:shd w:val="clear" w:color="auto" w:fill="auto"/>
          <w:lang w:val="zh-TW"/>
        </w:rPr>
        <w:t>必须提供加盖单位公章的法人营业执照（副本）复印件。投标人必须提供组织机构代码证复印件。</w:t>
      </w:r>
    </w:p>
    <w:p w14:paraId="269AEA14">
      <w:pPr>
        <w:pStyle w:val="20"/>
        <w:rPr>
          <w:color w:val="auto"/>
          <w:highlight w:val="none"/>
          <w:shd w:val="clear" w:color="auto" w:fill="auto"/>
          <w:lang w:val="zh-TW"/>
        </w:rPr>
      </w:pPr>
    </w:p>
    <w:p w14:paraId="4FDBF600">
      <w:pPr>
        <w:pStyle w:val="20"/>
        <w:rPr>
          <w:color w:val="auto"/>
          <w:highlight w:val="none"/>
          <w:shd w:val="clear" w:color="auto" w:fill="auto"/>
        </w:rPr>
      </w:pPr>
      <w:r>
        <w:rPr>
          <w:color w:val="auto"/>
          <w:highlight w:val="none"/>
          <w:shd w:val="clear" w:color="auto" w:fill="auto"/>
          <w:lang w:val="zh-TW" w:eastAsia="zh-TW"/>
        </w:rPr>
        <w:t>第</w:t>
      </w:r>
      <w:r>
        <w:rPr>
          <w:rFonts w:hint="eastAsia"/>
          <w:color w:val="auto"/>
          <w:highlight w:val="none"/>
          <w:shd w:val="clear" w:color="auto" w:fill="auto"/>
        </w:rPr>
        <w:t>二</w:t>
      </w:r>
      <w:r>
        <w:rPr>
          <w:color w:val="auto"/>
          <w:highlight w:val="none"/>
          <w:shd w:val="clear" w:color="auto" w:fill="auto"/>
          <w:lang w:val="zh-TW" w:eastAsia="zh-TW"/>
        </w:rPr>
        <w:t xml:space="preserve">章 </w:t>
      </w:r>
      <w:r>
        <w:rPr>
          <w:rFonts w:hint="eastAsia"/>
          <w:color w:val="auto"/>
          <w:highlight w:val="none"/>
          <w:shd w:val="clear" w:color="auto" w:fill="auto"/>
        </w:rPr>
        <w:t>项目要求</w:t>
      </w:r>
    </w:p>
    <w:p w14:paraId="23767BAB">
      <w:pPr>
        <w:pStyle w:val="20"/>
        <w:rPr>
          <w:rFonts w:hint="eastAsia"/>
          <w:color w:val="auto"/>
          <w:highlight w:val="none"/>
          <w:shd w:val="clear" w:color="auto" w:fill="auto"/>
        </w:rPr>
      </w:pPr>
      <w:r>
        <w:rPr>
          <w:rFonts w:hint="eastAsia"/>
          <w:color w:val="auto"/>
          <w:highlight w:val="none"/>
          <w:shd w:val="clear" w:color="auto" w:fill="auto"/>
        </w:rPr>
        <w:t>一、技术和服务要求</w:t>
      </w:r>
    </w:p>
    <w:p w14:paraId="54654950">
      <w:pPr>
        <w:pStyle w:val="20"/>
        <w:ind w:left="0" w:leftChars="0" w:firstLineChars="175"/>
        <w:rPr>
          <w:rFonts w:hint="eastAsia" w:eastAsia="仿宋"/>
          <w:color w:val="auto"/>
          <w:highlight w:val="none"/>
          <w:shd w:val="clear" w:color="auto" w:fill="auto"/>
          <w:lang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一</w:t>
      </w:r>
      <w:r>
        <w:rPr>
          <w:rFonts w:hint="eastAsia"/>
          <w:color w:val="auto"/>
          <w:highlight w:val="none"/>
          <w:shd w:val="clear" w:color="auto" w:fill="auto"/>
          <w:lang w:eastAsia="zh-CN"/>
        </w:rPr>
        <w:t>）</w:t>
      </w:r>
      <w:r>
        <w:rPr>
          <w:rFonts w:hint="eastAsia"/>
          <w:color w:val="auto"/>
          <w:highlight w:val="none"/>
          <w:shd w:val="clear" w:color="auto" w:fill="auto"/>
          <w:lang w:val="en-US" w:eastAsia="zh-CN"/>
        </w:rPr>
        <w:t>II</w:t>
      </w:r>
      <w:r>
        <w:rPr>
          <w:rFonts w:hint="eastAsia"/>
          <w:color w:val="auto"/>
          <w:highlight w:val="none"/>
          <w:shd w:val="clear" w:color="auto" w:fill="auto"/>
          <w:lang w:eastAsia="zh-CN"/>
        </w:rPr>
        <w:t>级A2型生物安全柜</w:t>
      </w:r>
    </w:p>
    <w:p w14:paraId="65AD7225">
      <w:pPr>
        <w:pStyle w:val="20"/>
        <w:ind w:left="0" w:leftChars="0" w:firstLineChars="175"/>
        <w:rPr>
          <w:rFonts w:hint="eastAsia"/>
          <w:color w:val="auto"/>
          <w:highlight w:val="none"/>
          <w:shd w:val="clear" w:color="auto" w:fill="auto"/>
        </w:rPr>
      </w:pPr>
      <w:r>
        <w:rPr>
          <w:rFonts w:hint="eastAsia"/>
          <w:color w:val="auto"/>
          <w:highlight w:val="none"/>
          <w:shd w:val="clear" w:color="auto" w:fill="auto"/>
        </w:rPr>
        <w:t>★1</w:t>
      </w:r>
      <w:r>
        <w:rPr>
          <w:rFonts w:hint="eastAsia"/>
          <w:color w:val="auto"/>
          <w:highlight w:val="none"/>
          <w:shd w:val="clear" w:color="auto" w:fill="auto"/>
          <w:lang w:val="en-US" w:eastAsia="zh-CN"/>
        </w:rPr>
        <w:t>. II</w:t>
      </w:r>
      <w:r>
        <w:rPr>
          <w:rFonts w:hint="eastAsia"/>
          <w:color w:val="auto"/>
          <w:highlight w:val="none"/>
          <w:shd w:val="clear" w:color="auto" w:fill="auto"/>
          <w:lang w:eastAsia="zh-CN"/>
        </w:rPr>
        <w:t>级</w:t>
      </w:r>
      <w:r>
        <w:rPr>
          <w:rFonts w:hint="eastAsia"/>
          <w:color w:val="auto"/>
          <w:highlight w:val="none"/>
          <w:shd w:val="clear" w:color="auto" w:fill="auto"/>
        </w:rPr>
        <w:t>A2型生物安全柜，30%气体外排，70%气体循环；需要提供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p>
    <w:p w14:paraId="056DAA1B">
      <w:pPr>
        <w:pStyle w:val="20"/>
        <w:ind w:left="0" w:leftChars="0" w:firstLine="420" w:firstLineChars="175"/>
        <w:rPr>
          <w:rFonts w:hint="eastAsia" w:eastAsia="仿宋"/>
          <w:color w:val="auto"/>
          <w:highlight w:val="none"/>
          <w:shd w:val="clear" w:color="auto" w:fill="auto"/>
          <w:lang w:eastAsia="zh-CN"/>
        </w:rPr>
      </w:pPr>
      <w:r>
        <w:rPr>
          <w:rFonts w:hint="eastAsia"/>
          <w:color w:val="auto"/>
          <w:highlight w:val="none"/>
          <w:shd w:val="clear" w:color="auto" w:fill="auto"/>
        </w:rPr>
        <w:t>2</w:t>
      </w:r>
      <w:r>
        <w:rPr>
          <w:rFonts w:hint="eastAsia"/>
          <w:color w:val="auto"/>
          <w:highlight w:val="none"/>
          <w:shd w:val="clear" w:color="auto" w:fill="auto"/>
          <w:lang w:val="en-US" w:eastAsia="zh-CN"/>
        </w:rPr>
        <w:t xml:space="preserve">. </w:t>
      </w:r>
      <w:r>
        <w:rPr>
          <w:rFonts w:hint="eastAsia"/>
          <w:color w:val="auto"/>
          <w:highlight w:val="none"/>
          <w:shd w:val="clear" w:color="auto" w:fill="auto"/>
        </w:rPr>
        <w:t>单人操作，工作区宽度≥900mm；工作区尺寸：≥900*610*680mm（宽深高）</w:t>
      </w:r>
      <w:r>
        <w:rPr>
          <w:rFonts w:hint="eastAsia"/>
          <w:color w:val="auto"/>
          <w:highlight w:val="none"/>
          <w:shd w:val="clear" w:color="auto" w:fill="auto"/>
          <w:lang w:eastAsia="zh-CN"/>
        </w:rPr>
        <w:t>；</w:t>
      </w:r>
    </w:p>
    <w:p w14:paraId="3F092B98">
      <w:pPr>
        <w:pStyle w:val="20"/>
        <w:ind w:left="0" w:leftChars="0" w:firstLine="420" w:firstLineChars="175"/>
        <w:rPr>
          <w:rFonts w:hint="eastAsia"/>
          <w:color w:val="auto"/>
          <w:highlight w:val="none"/>
          <w:shd w:val="clear" w:color="auto" w:fill="auto"/>
        </w:rPr>
      </w:pPr>
      <w:r>
        <w:rPr>
          <w:rFonts w:hint="eastAsia"/>
          <w:color w:val="auto"/>
          <w:highlight w:val="none"/>
          <w:shd w:val="clear" w:color="auto" w:fill="auto"/>
        </w:rPr>
        <w:t>3</w:t>
      </w:r>
      <w:r>
        <w:rPr>
          <w:rFonts w:hint="eastAsia"/>
          <w:color w:val="auto"/>
          <w:highlight w:val="none"/>
          <w:shd w:val="clear" w:color="auto" w:fill="auto"/>
          <w:lang w:val="en-US" w:eastAsia="zh-CN"/>
        </w:rPr>
        <w:t xml:space="preserve">. </w:t>
      </w:r>
      <w:r>
        <w:rPr>
          <w:rFonts w:hint="eastAsia"/>
          <w:color w:val="auto"/>
          <w:highlight w:val="none"/>
          <w:shd w:val="clear" w:color="auto" w:fill="auto"/>
        </w:rPr>
        <w:t>前窗10度倾角设计；</w:t>
      </w:r>
    </w:p>
    <w:p w14:paraId="458974B1">
      <w:pPr>
        <w:pStyle w:val="20"/>
        <w:ind w:left="0" w:leftChars="0" w:firstLine="420" w:firstLineChars="175"/>
        <w:rPr>
          <w:rFonts w:hint="eastAsia"/>
          <w:color w:val="auto"/>
          <w:highlight w:val="none"/>
          <w:shd w:val="clear" w:color="auto" w:fill="auto"/>
        </w:rPr>
      </w:pPr>
      <w:r>
        <w:rPr>
          <w:rFonts w:hint="eastAsia"/>
          <w:color w:val="auto"/>
          <w:highlight w:val="none"/>
          <w:shd w:val="clear" w:color="auto" w:fill="auto"/>
        </w:rPr>
        <w:t>4</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整个柜体外壳一体焊接成型，非拼接打胶密封结构，所有污染部位均应处于负压状态或被负压通道和负压通风系统包围； </w:t>
      </w:r>
    </w:p>
    <w:p w14:paraId="6CF97BC1">
      <w:pPr>
        <w:pStyle w:val="20"/>
        <w:ind w:left="0" w:leftChars="0" w:firstLine="420" w:firstLineChars="175"/>
        <w:rPr>
          <w:rFonts w:hint="eastAsia"/>
          <w:color w:val="auto"/>
          <w:highlight w:val="none"/>
          <w:shd w:val="clear" w:color="auto" w:fill="auto"/>
        </w:rPr>
      </w:pPr>
      <w:r>
        <w:rPr>
          <w:rFonts w:hint="eastAsia"/>
          <w:color w:val="auto"/>
          <w:highlight w:val="none"/>
          <w:shd w:val="clear" w:color="auto" w:fill="auto"/>
        </w:rPr>
        <w:t>▲5</w:t>
      </w:r>
      <w:r>
        <w:rPr>
          <w:rFonts w:hint="eastAsia"/>
          <w:color w:val="auto"/>
          <w:highlight w:val="none"/>
          <w:shd w:val="clear" w:color="auto" w:fill="auto"/>
          <w:lang w:val="en-US" w:eastAsia="zh-CN"/>
        </w:rPr>
        <w:t xml:space="preserve">. </w:t>
      </w:r>
      <w:r>
        <w:rPr>
          <w:rFonts w:hint="eastAsia"/>
          <w:color w:val="auto"/>
          <w:highlight w:val="none"/>
          <w:shd w:val="clear" w:color="auto" w:fill="auto"/>
        </w:rPr>
        <w:t>具有气流隔断技术，沿玻璃门上沿缝隙有负压气流阻断保护，防止工作区内外气体交互；需要提供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p>
    <w:p w14:paraId="65080A7B">
      <w:pPr>
        <w:pStyle w:val="20"/>
        <w:ind w:left="0" w:leftChars="0" w:firstLine="420" w:firstLineChars="175"/>
        <w:rPr>
          <w:rFonts w:hint="eastAsia"/>
          <w:color w:val="auto"/>
          <w:highlight w:val="none"/>
          <w:shd w:val="clear" w:color="auto" w:fill="auto"/>
        </w:rPr>
      </w:pPr>
      <w:r>
        <w:rPr>
          <w:rFonts w:hint="eastAsia"/>
          <w:color w:val="auto"/>
          <w:highlight w:val="none"/>
          <w:shd w:val="clear" w:color="auto" w:fill="auto"/>
        </w:rPr>
        <w:t>6</w:t>
      </w:r>
      <w:r>
        <w:rPr>
          <w:rFonts w:hint="eastAsia"/>
          <w:color w:val="auto"/>
          <w:highlight w:val="none"/>
          <w:shd w:val="clear" w:color="auto" w:fill="auto"/>
          <w:lang w:val="en-US" w:eastAsia="zh-CN"/>
        </w:rPr>
        <w:t xml:space="preserve">. </w:t>
      </w:r>
      <w:r>
        <w:rPr>
          <w:rFonts w:hint="eastAsia"/>
          <w:color w:val="auto"/>
          <w:highlight w:val="none"/>
          <w:shd w:val="clear" w:color="auto" w:fill="auto"/>
        </w:rPr>
        <w:t>凹盘式工作台，防止液体倾洒后外溢；凹盘深度≥1.5cm</w:t>
      </w:r>
      <w:r>
        <w:rPr>
          <w:rFonts w:hint="eastAsia"/>
          <w:color w:val="auto"/>
          <w:highlight w:val="none"/>
          <w:shd w:val="clear" w:color="auto" w:fill="auto"/>
          <w:lang w:eastAsia="zh-CN"/>
        </w:rPr>
        <w:t>，</w:t>
      </w:r>
      <w:r>
        <w:rPr>
          <w:rFonts w:hint="eastAsia"/>
          <w:color w:val="auto"/>
          <w:highlight w:val="none"/>
          <w:shd w:val="clear" w:color="auto" w:fill="auto"/>
        </w:rPr>
        <w:t>在频率10Hz和10kHz之间的振动净振幅不超过5um(rms)；工作台面中心</w:t>
      </w:r>
      <w:r>
        <w:rPr>
          <w:rFonts w:hint="eastAsia"/>
          <w:color w:val="auto"/>
          <w:highlight w:val="none"/>
          <w:shd w:val="clear" w:color="auto" w:fill="auto"/>
          <w:lang w:val="en-US" w:eastAsia="zh-CN"/>
        </w:rPr>
        <w:t>可</w:t>
      </w:r>
      <w:r>
        <w:rPr>
          <w:rFonts w:hint="eastAsia"/>
          <w:color w:val="auto"/>
          <w:highlight w:val="none"/>
          <w:shd w:val="clear" w:color="auto" w:fill="auto"/>
        </w:rPr>
        <w:t>加载</w:t>
      </w:r>
      <w:r>
        <w:rPr>
          <w:rFonts w:hint="eastAsia"/>
          <w:color w:val="auto"/>
          <w:highlight w:val="none"/>
          <w:shd w:val="clear" w:color="auto" w:fill="auto"/>
          <w:lang w:val="en-US" w:eastAsia="zh-CN"/>
        </w:rPr>
        <w:t>≥</w:t>
      </w:r>
      <w:r>
        <w:rPr>
          <w:rFonts w:hint="eastAsia"/>
          <w:color w:val="auto"/>
          <w:highlight w:val="none"/>
          <w:shd w:val="clear" w:color="auto" w:fill="auto"/>
        </w:rPr>
        <w:t>23kg压力，台面不产生变形；</w:t>
      </w:r>
    </w:p>
    <w:p w14:paraId="18667C46">
      <w:pPr>
        <w:pStyle w:val="20"/>
        <w:ind w:left="0" w:leftChars="0" w:firstLine="420" w:firstLineChars="175"/>
        <w:rPr>
          <w:rFonts w:hint="eastAsia" w:eastAsia="仿宋"/>
          <w:color w:val="auto"/>
          <w:highlight w:val="none"/>
          <w:shd w:val="clear" w:color="auto" w:fill="auto"/>
          <w:lang w:eastAsia="zh-CN"/>
        </w:rPr>
      </w:pPr>
      <w:r>
        <w:rPr>
          <w:rFonts w:hint="eastAsia"/>
          <w:color w:val="auto"/>
          <w:highlight w:val="none"/>
          <w:shd w:val="clear" w:color="auto" w:fill="auto"/>
        </w:rPr>
        <w:t>★7</w:t>
      </w:r>
      <w:r>
        <w:rPr>
          <w:rFonts w:hint="eastAsia"/>
          <w:color w:val="auto"/>
          <w:highlight w:val="none"/>
          <w:shd w:val="clear" w:color="auto" w:fill="auto"/>
          <w:lang w:val="en-US" w:eastAsia="zh-CN"/>
        </w:rPr>
        <w:t xml:space="preserve">. </w:t>
      </w:r>
      <w:r>
        <w:rPr>
          <w:rFonts w:hint="eastAsia"/>
          <w:color w:val="auto"/>
          <w:highlight w:val="none"/>
          <w:shd w:val="clear" w:color="auto" w:fill="auto"/>
        </w:rPr>
        <w:t>主过滤器：采用超高效过滤器ULPA，过滤效率≥99.9995%</w:t>
      </w:r>
      <w:r>
        <w:rPr>
          <w:rFonts w:hint="eastAsia"/>
          <w:color w:val="auto"/>
          <w:highlight w:val="none"/>
          <w:shd w:val="clear" w:color="auto" w:fill="auto"/>
          <w:lang w:eastAsia="zh-CN"/>
        </w:rPr>
        <w:t>，</w:t>
      </w:r>
      <w:r>
        <w:rPr>
          <w:rFonts w:hint="eastAsia"/>
          <w:color w:val="auto"/>
          <w:highlight w:val="none"/>
          <w:shd w:val="clear" w:color="auto" w:fill="auto"/>
        </w:rPr>
        <w:t>0.12um，工作区洁净度等级10级；需要提供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6935272E">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rPr>
        <w:t>▲</w:t>
      </w:r>
      <w:r>
        <w:rPr>
          <w:rFonts w:hint="eastAsia"/>
          <w:color w:val="auto"/>
          <w:highlight w:val="none"/>
          <w:shd w:val="clear" w:color="auto" w:fill="auto"/>
          <w:lang w:val="en-US" w:eastAsia="zh-CN"/>
        </w:rPr>
        <w:t xml:space="preserve">8. </w:t>
      </w:r>
      <w:r>
        <w:rPr>
          <w:rFonts w:hint="eastAsia"/>
          <w:color w:val="auto"/>
          <w:highlight w:val="none"/>
          <w:shd w:val="clear" w:color="auto" w:fill="auto"/>
        </w:rPr>
        <w:t>前窗玻璃：单层防紫外线钢化玻璃同时覆一层防爆膜，单层玻璃厚度不低于6mm；玻璃门采用手动升降；需要提供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p>
    <w:p w14:paraId="50CD0B4F">
      <w:pPr>
        <w:pStyle w:val="20"/>
        <w:numPr>
          <w:ilvl w:val="0"/>
          <w:numId w:val="1"/>
        </w:numPr>
        <w:ind w:left="0" w:leftChars="0" w:firstLine="420" w:firstLineChars="175"/>
        <w:rPr>
          <w:rFonts w:hint="eastAsia"/>
          <w:color w:val="auto"/>
          <w:highlight w:val="none"/>
          <w:shd w:val="clear" w:color="auto" w:fill="auto"/>
        </w:rPr>
      </w:pPr>
      <w:r>
        <w:rPr>
          <w:rFonts w:hint="eastAsia"/>
          <w:color w:val="auto"/>
          <w:highlight w:val="none"/>
          <w:shd w:val="clear" w:color="auto" w:fill="auto"/>
        </w:rPr>
        <w:t>4只万向脚轮，</w:t>
      </w:r>
      <w:r>
        <w:rPr>
          <w:rFonts w:hint="eastAsia"/>
          <w:color w:val="auto"/>
          <w:highlight w:val="none"/>
          <w:shd w:val="clear" w:color="auto" w:fill="auto"/>
          <w:lang w:eastAsia="zh-CN"/>
        </w:rPr>
        <w:t>4只</w:t>
      </w:r>
      <w:r>
        <w:rPr>
          <w:rFonts w:hint="eastAsia"/>
          <w:color w:val="auto"/>
          <w:highlight w:val="none"/>
          <w:shd w:val="clear" w:color="auto" w:fill="auto"/>
        </w:rPr>
        <w:t>底脚不锈钢材质，高度可调，调节螺栓内置，无裸露螺纹；</w:t>
      </w:r>
    </w:p>
    <w:p w14:paraId="3B8D609A">
      <w:pPr>
        <w:pStyle w:val="20"/>
        <w:numPr>
          <w:ilvl w:val="0"/>
          <w:numId w:val="1"/>
        </w:numPr>
        <w:ind w:left="0" w:leftChars="0" w:firstLine="420" w:firstLineChars="175"/>
        <w:rPr>
          <w:rFonts w:hint="eastAsia"/>
          <w:color w:val="auto"/>
          <w:highlight w:val="none"/>
          <w:shd w:val="clear" w:color="auto" w:fill="auto"/>
        </w:rPr>
      </w:pPr>
      <w:r>
        <w:rPr>
          <w:rFonts w:hint="eastAsia"/>
          <w:color w:val="auto"/>
          <w:highlight w:val="none"/>
          <w:shd w:val="clear" w:color="auto" w:fill="auto"/>
        </w:rPr>
        <w:t>负压通道专门设计异物过滤装置，防止纸屑等异物通过负压通道进入风机/过滤器影响产品正常运行；</w:t>
      </w:r>
    </w:p>
    <w:p w14:paraId="78F4E90B">
      <w:pPr>
        <w:pStyle w:val="20"/>
        <w:numPr>
          <w:ilvl w:val="0"/>
          <w:numId w:val="1"/>
        </w:numPr>
        <w:ind w:left="0" w:leftChars="0" w:firstLine="420" w:firstLineChars="175"/>
        <w:rPr>
          <w:rFonts w:hint="eastAsia"/>
          <w:color w:val="auto"/>
          <w:highlight w:val="none"/>
          <w:shd w:val="clear" w:color="auto" w:fill="auto"/>
        </w:rPr>
      </w:pPr>
      <w:r>
        <w:rPr>
          <w:rFonts w:hint="eastAsia"/>
          <w:color w:val="auto"/>
          <w:highlight w:val="none"/>
          <w:shd w:val="clear" w:color="auto" w:fill="auto"/>
        </w:rPr>
        <w:t>风机：高性能静音风机，提供稳定的气流模型和层流，具有自动调节风速功能，保持恒风速；</w:t>
      </w:r>
    </w:p>
    <w:p w14:paraId="2713FA8F">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rPr>
        <w:t>★</w:t>
      </w:r>
      <w:r>
        <w:rPr>
          <w:rFonts w:hint="eastAsia"/>
          <w:color w:val="auto"/>
          <w:highlight w:val="none"/>
          <w:shd w:val="clear" w:color="auto" w:fill="auto"/>
          <w:lang w:val="en-US" w:eastAsia="zh-CN"/>
        </w:rPr>
        <w:t xml:space="preserve">12. </w:t>
      </w:r>
      <w:r>
        <w:rPr>
          <w:rFonts w:hint="eastAsia"/>
          <w:color w:val="auto"/>
          <w:highlight w:val="none"/>
          <w:shd w:val="clear" w:color="auto" w:fill="auto"/>
        </w:rPr>
        <w:t>风速：下降风速≥0.31m/s</w:t>
      </w:r>
      <w:r>
        <w:rPr>
          <w:rFonts w:hint="eastAsia"/>
          <w:color w:val="auto"/>
          <w:highlight w:val="none"/>
          <w:shd w:val="clear" w:color="auto" w:fill="auto"/>
        </w:rPr>
        <w:t>；流入风速≥0.55m/s；需要提供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p>
    <w:p w14:paraId="555A74EC">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13. </w:t>
      </w:r>
      <w:r>
        <w:rPr>
          <w:rFonts w:hint="eastAsia"/>
          <w:color w:val="auto"/>
          <w:highlight w:val="none"/>
          <w:shd w:val="clear" w:color="auto" w:fill="auto"/>
        </w:rPr>
        <w:t xml:space="preserve">安全柜的噪声≤64dB(A)； </w:t>
      </w:r>
      <w:bookmarkStart w:id="0" w:name="_GoBack"/>
      <w:bookmarkEnd w:id="0"/>
    </w:p>
    <w:p w14:paraId="6147D123">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14. </w:t>
      </w:r>
      <w:r>
        <w:rPr>
          <w:rFonts w:hint="eastAsia"/>
          <w:color w:val="auto"/>
          <w:highlight w:val="none"/>
          <w:shd w:val="clear" w:color="auto" w:fill="auto"/>
        </w:rPr>
        <w:t>人员保护：碘化钾法测试，前窗操作口的保护因子≥1×105</w:t>
      </w:r>
      <w:r>
        <w:rPr>
          <w:rFonts w:hint="eastAsia"/>
          <w:color w:val="auto"/>
          <w:highlight w:val="none"/>
          <w:shd w:val="clear" w:color="auto" w:fill="auto"/>
          <w:lang w:eastAsia="zh-CN"/>
        </w:rPr>
        <w:t>；</w:t>
      </w:r>
    </w:p>
    <w:p w14:paraId="00821A0D">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15. </w:t>
      </w:r>
      <w:r>
        <w:rPr>
          <w:rFonts w:hint="eastAsia"/>
          <w:color w:val="auto"/>
          <w:highlight w:val="none"/>
          <w:shd w:val="clear" w:color="auto" w:fill="auto"/>
        </w:rPr>
        <w:t>产品保护：在琼脂培养皿上的枯草芽孢杆菌芽孢不超过5CFU；　</w:t>
      </w:r>
      <w:r>
        <w:rPr>
          <w:rFonts w:hint="eastAsia"/>
          <w:color w:val="auto"/>
          <w:highlight w:val="none"/>
          <w:shd w:val="clear" w:color="auto" w:fill="auto"/>
        </w:rPr>
        <w:tab/>
      </w:r>
    </w:p>
    <w:p w14:paraId="57ADEF3C">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16. </w:t>
      </w:r>
      <w:r>
        <w:rPr>
          <w:rFonts w:hint="eastAsia"/>
          <w:color w:val="auto"/>
          <w:highlight w:val="none"/>
          <w:shd w:val="clear" w:color="auto" w:fill="auto"/>
        </w:rPr>
        <w:t>交叉污染保护：在琼脂培养皿上的枯草芽孢杆菌芽孢不超过2CFU；</w:t>
      </w:r>
    </w:p>
    <w:p w14:paraId="19210A98">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17. </w:t>
      </w:r>
      <w:r>
        <w:rPr>
          <w:rFonts w:hint="eastAsia"/>
          <w:color w:val="auto"/>
          <w:highlight w:val="none"/>
          <w:shd w:val="clear" w:color="auto" w:fill="auto"/>
        </w:rPr>
        <w:t>实时数字显示设备运行情况，其中下降气流流速和流入气流流速同时显示，记录安全柜的整体运行时间，UV灯的运行时间，高效过滤器的运行时间</w:t>
      </w:r>
      <w:r>
        <w:rPr>
          <w:rFonts w:hint="eastAsia"/>
          <w:color w:val="auto"/>
          <w:highlight w:val="none"/>
          <w:shd w:val="clear" w:color="auto" w:fill="auto"/>
          <w:lang w:eastAsia="zh-CN"/>
        </w:rPr>
        <w:t>、</w:t>
      </w:r>
      <w:r>
        <w:rPr>
          <w:rFonts w:hint="eastAsia"/>
          <w:color w:val="auto"/>
          <w:highlight w:val="none"/>
          <w:shd w:val="clear" w:color="auto" w:fill="auto"/>
        </w:rPr>
        <w:t xml:space="preserve">运行状态； </w:t>
      </w:r>
    </w:p>
    <w:p w14:paraId="0D6D5304">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rPr>
        <w:t>▲</w:t>
      </w:r>
      <w:r>
        <w:rPr>
          <w:rFonts w:hint="eastAsia"/>
          <w:color w:val="auto"/>
          <w:highlight w:val="none"/>
          <w:shd w:val="clear" w:color="auto" w:fill="auto"/>
          <w:lang w:val="en-US" w:eastAsia="zh-CN"/>
        </w:rPr>
        <w:t xml:space="preserve">18. </w:t>
      </w:r>
      <w:r>
        <w:rPr>
          <w:rFonts w:hint="eastAsia"/>
          <w:color w:val="auto"/>
          <w:highlight w:val="none"/>
          <w:shd w:val="clear" w:color="auto" w:fill="auto"/>
        </w:rPr>
        <w:t>风压传感器，可实时监测并显示正压区和负压区的压力，压力变化超限时自动声光报警。同时可实时监测过滤器阻力，数字显示过滤器剩余使用寿命，在使用寿命剩余10%时自动提示；需要提供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p>
    <w:p w14:paraId="11E8A2E1">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19. </w:t>
      </w:r>
      <w:r>
        <w:rPr>
          <w:rFonts w:hint="eastAsia"/>
          <w:color w:val="auto"/>
          <w:highlight w:val="none"/>
          <w:shd w:val="clear" w:color="auto" w:fill="auto"/>
        </w:rPr>
        <w:t>智能联锁控制设计，配备两个磁吸合开关</w:t>
      </w:r>
      <w:r>
        <w:rPr>
          <w:rFonts w:hint="eastAsia"/>
          <w:color w:val="auto"/>
          <w:highlight w:val="none"/>
          <w:shd w:val="clear" w:color="auto" w:fill="auto"/>
          <w:lang w:eastAsia="zh-CN"/>
        </w:rPr>
        <w:t>；</w:t>
      </w:r>
      <w:r>
        <w:rPr>
          <w:rFonts w:hint="eastAsia"/>
          <w:color w:val="auto"/>
          <w:highlight w:val="none"/>
          <w:shd w:val="clear" w:color="auto" w:fill="auto"/>
        </w:rPr>
        <w:t>打开前窗玻璃后，紫外灯应自动关闭，风机、照明灯自动开始运行；关闭前窗后，风机和荧光灯自动关闭；</w:t>
      </w:r>
    </w:p>
    <w:p w14:paraId="46181DFF">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20. </w:t>
      </w:r>
      <w:r>
        <w:rPr>
          <w:rFonts w:hint="eastAsia"/>
          <w:color w:val="auto"/>
          <w:highlight w:val="none"/>
          <w:shd w:val="clear" w:color="auto" w:fill="auto"/>
        </w:rPr>
        <w:t>一键式预约紫外灯消毒时间，在班前班后两个时段自动运行；只需预约一次，安全柜生命周期内无需再次预约，紫外灯按照预约时间自动开启消毒功能；</w:t>
      </w:r>
    </w:p>
    <w:p w14:paraId="051ECD3B">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21. </w:t>
      </w:r>
      <w:r>
        <w:rPr>
          <w:rFonts w:hint="eastAsia"/>
          <w:color w:val="auto"/>
          <w:highlight w:val="none"/>
          <w:shd w:val="clear" w:color="auto" w:fill="auto"/>
        </w:rPr>
        <w:t>12V直流LED照明灯，安全柜的平均照度≥1100LX；</w:t>
      </w:r>
    </w:p>
    <w:p w14:paraId="20A62FE1">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22. </w:t>
      </w:r>
      <w:r>
        <w:rPr>
          <w:rFonts w:hint="eastAsia"/>
          <w:color w:val="auto"/>
          <w:highlight w:val="none"/>
          <w:shd w:val="clear" w:color="auto" w:fill="auto"/>
        </w:rPr>
        <w:t>有开门高度警示功能，高精度定位，开门超高或过低均有声光报警提示；</w:t>
      </w:r>
    </w:p>
    <w:p w14:paraId="4E21E20D">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23. </w:t>
      </w:r>
      <w:r>
        <w:rPr>
          <w:rFonts w:hint="eastAsia"/>
          <w:color w:val="auto"/>
          <w:highlight w:val="none"/>
          <w:shd w:val="clear" w:color="auto" w:fill="auto"/>
        </w:rPr>
        <w:t>有监测气流波动功能，气流波动超过20%有声光报警提示；</w:t>
      </w:r>
    </w:p>
    <w:p w14:paraId="674B609F">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24. </w:t>
      </w:r>
      <w:r>
        <w:rPr>
          <w:rFonts w:hint="eastAsia"/>
          <w:color w:val="auto"/>
          <w:highlight w:val="none"/>
          <w:shd w:val="clear" w:color="auto" w:fill="auto"/>
        </w:rPr>
        <w:t>有关门监测功能，未关严门有声光报警提示；</w:t>
      </w:r>
    </w:p>
    <w:p w14:paraId="00EE0CDE">
      <w:pPr>
        <w:pStyle w:val="20"/>
        <w:numPr>
          <w:ilvl w:val="-1"/>
          <w:numId w:val="0"/>
        </w:numPr>
        <w:ind w:left="0" w:leftChars="0" w:firstLine="420" w:firstLineChars="175"/>
        <w:rPr>
          <w:rFonts w:hint="eastAsia"/>
          <w:color w:val="auto"/>
          <w:highlight w:val="none"/>
          <w:shd w:val="clear" w:color="auto" w:fill="auto"/>
        </w:rPr>
      </w:pPr>
      <w:r>
        <w:rPr>
          <w:rFonts w:hint="eastAsia"/>
          <w:color w:val="auto"/>
          <w:highlight w:val="none"/>
          <w:shd w:val="clear" w:color="auto" w:fill="auto"/>
          <w:lang w:val="en-US" w:eastAsia="zh-CN"/>
        </w:rPr>
        <w:t xml:space="preserve">25. </w:t>
      </w:r>
      <w:r>
        <w:rPr>
          <w:rFonts w:hint="eastAsia"/>
          <w:color w:val="auto"/>
          <w:highlight w:val="none"/>
          <w:shd w:val="clear" w:color="auto" w:fill="auto"/>
        </w:rPr>
        <w:t>具有国家药监总局颁发的三类医疗器械注册证书,符合最新国标GB41918-2022 要求，需出具权威第三方检测机构按GB41918-2022标准进行测试合格的检测报告；</w:t>
      </w:r>
    </w:p>
    <w:p w14:paraId="715847DC">
      <w:pPr>
        <w:pStyle w:val="20"/>
        <w:numPr>
          <w:ilvl w:val="-1"/>
          <w:numId w:val="0"/>
        </w:numPr>
        <w:ind w:left="0" w:leftChars="0" w:firstLine="420" w:firstLineChars="175"/>
        <w:rPr>
          <w:color w:val="auto"/>
          <w:highlight w:val="none"/>
          <w:shd w:val="clear" w:color="auto" w:fill="auto"/>
        </w:rPr>
      </w:pPr>
      <w:r>
        <w:rPr>
          <w:rFonts w:hint="eastAsia"/>
          <w:color w:val="auto"/>
          <w:highlight w:val="none"/>
          <w:shd w:val="clear" w:color="auto" w:fill="auto"/>
          <w:lang w:val="en-US" w:eastAsia="zh-CN"/>
        </w:rPr>
        <w:t xml:space="preserve">26. </w:t>
      </w:r>
      <w:r>
        <w:rPr>
          <w:rFonts w:hint="eastAsia"/>
          <w:color w:val="auto"/>
          <w:highlight w:val="none"/>
          <w:shd w:val="clear" w:color="auto" w:fill="auto"/>
        </w:rPr>
        <w:t>生产企业</w:t>
      </w:r>
      <w:r>
        <w:rPr>
          <w:rFonts w:hint="eastAsia"/>
          <w:color w:val="auto"/>
          <w:highlight w:val="none"/>
          <w:shd w:val="clear" w:color="auto" w:fill="auto"/>
          <w:lang w:val="en-US" w:eastAsia="zh-CN"/>
        </w:rPr>
        <w:t>至少</w:t>
      </w:r>
      <w:r>
        <w:rPr>
          <w:rFonts w:hint="eastAsia"/>
          <w:color w:val="auto"/>
          <w:highlight w:val="none"/>
          <w:shd w:val="clear" w:color="auto" w:fill="auto"/>
        </w:rPr>
        <w:t>需通过ISO9001</w:t>
      </w:r>
      <w:r>
        <w:rPr>
          <w:rFonts w:hint="eastAsia"/>
          <w:color w:val="auto"/>
          <w:highlight w:val="none"/>
          <w:shd w:val="clear" w:color="auto" w:fill="auto"/>
          <w:lang w:eastAsia="zh-CN"/>
        </w:rPr>
        <w:t>、</w:t>
      </w:r>
      <w:r>
        <w:rPr>
          <w:rFonts w:hint="eastAsia"/>
          <w:color w:val="auto"/>
          <w:highlight w:val="none"/>
          <w:shd w:val="clear" w:color="auto" w:fill="auto"/>
        </w:rPr>
        <w:t>ISO13485</w:t>
      </w:r>
      <w:r>
        <w:rPr>
          <w:rFonts w:hint="eastAsia"/>
          <w:color w:val="auto"/>
          <w:highlight w:val="none"/>
          <w:shd w:val="clear" w:color="auto" w:fill="auto"/>
          <w:lang w:eastAsia="zh-CN"/>
        </w:rPr>
        <w:t>、</w:t>
      </w:r>
      <w:r>
        <w:rPr>
          <w:rFonts w:hint="eastAsia"/>
          <w:color w:val="auto"/>
          <w:highlight w:val="none"/>
          <w:shd w:val="clear" w:color="auto" w:fill="auto"/>
        </w:rPr>
        <w:t>ISO14001</w:t>
      </w:r>
      <w:r>
        <w:rPr>
          <w:rFonts w:hint="eastAsia"/>
          <w:color w:val="auto"/>
          <w:highlight w:val="none"/>
          <w:shd w:val="clear" w:color="auto" w:fill="auto"/>
          <w:lang w:val="en-US" w:eastAsia="zh-CN"/>
        </w:rPr>
        <w:t>和</w:t>
      </w:r>
      <w:r>
        <w:rPr>
          <w:rFonts w:hint="eastAsia"/>
          <w:color w:val="auto"/>
          <w:highlight w:val="none"/>
          <w:shd w:val="clear" w:color="auto" w:fill="auto"/>
        </w:rPr>
        <w:t>ISO45001认证；</w:t>
      </w:r>
    </w:p>
    <w:p w14:paraId="342A6E60">
      <w:pPr>
        <w:pStyle w:val="20"/>
        <w:numPr>
          <w:ilvl w:val="0"/>
          <w:numId w:val="2"/>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II</w:t>
      </w:r>
      <w:r>
        <w:rPr>
          <w:rFonts w:hint="eastAsia"/>
          <w:color w:val="auto"/>
          <w:highlight w:val="none"/>
          <w:shd w:val="clear" w:color="auto" w:fill="auto"/>
          <w:lang w:eastAsia="zh-CN"/>
        </w:rPr>
        <w:t>级B2型生物安全柜</w:t>
      </w:r>
    </w:p>
    <w:p w14:paraId="05EB4BA0">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★1</w:t>
      </w:r>
      <w:r>
        <w:rPr>
          <w:rFonts w:hint="eastAsia"/>
          <w:color w:val="auto"/>
          <w:highlight w:val="none"/>
          <w:shd w:val="clear" w:color="auto" w:fill="auto"/>
          <w:lang w:val="en-US" w:eastAsia="zh-CN"/>
        </w:rPr>
        <w:t>. II</w:t>
      </w:r>
      <w:r>
        <w:rPr>
          <w:rFonts w:hint="eastAsia"/>
          <w:color w:val="auto"/>
          <w:highlight w:val="none"/>
          <w:shd w:val="clear" w:color="auto" w:fill="auto"/>
          <w:lang w:eastAsia="zh-CN"/>
        </w:rPr>
        <w:t>级B2型生物安全柜，100%气体外排</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294AA4C8">
      <w:pPr>
        <w:pStyle w:val="20"/>
        <w:numPr>
          <w:ilvl w:val="0"/>
          <w:numId w:val="3"/>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单人或双人操作，工作区宽度≥1100mm；工作区尺寸（宽深高）：≥1167*610*680mm；</w:t>
      </w:r>
    </w:p>
    <w:p w14:paraId="53B9F5D3">
      <w:pPr>
        <w:pStyle w:val="20"/>
        <w:numPr>
          <w:ilvl w:val="0"/>
          <w:numId w:val="3"/>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前窗10度倾角设计；</w:t>
      </w:r>
    </w:p>
    <w:p w14:paraId="1625FDF9">
      <w:pPr>
        <w:pStyle w:val="20"/>
        <w:numPr>
          <w:ilvl w:val="0"/>
          <w:numId w:val="3"/>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 xml:space="preserve">整个柜体外壳为一体焊接成型，非拼接打胶密封结构，所有污染部位均应处于负压状态或被负压通道和负压通风系统包围； </w:t>
      </w:r>
    </w:p>
    <w:p w14:paraId="0AC83961">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rPr>
        <w:t>▲</w:t>
      </w:r>
      <w:r>
        <w:rPr>
          <w:rFonts w:hint="eastAsia"/>
          <w:color w:val="auto"/>
          <w:highlight w:val="none"/>
          <w:shd w:val="clear" w:color="auto" w:fill="auto"/>
          <w:lang w:val="en-US" w:eastAsia="zh-CN"/>
        </w:rPr>
        <w:t xml:space="preserve">5. </w:t>
      </w:r>
      <w:r>
        <w:rPr>
          <w:rFonts w:hint="eastAsia"/>
          <w:color w:val="auto"/>
          <w:highlight w:val="none"/>
          <w:shd w:val="clear" w:color="auto" w:fill="auto"/>
          <w:lang w:eastAsia="zh-CN"/>
        </w:rPr>
        <w:t>具有气流隔断技术，沿玻璃门上沿缝隙有负压气流阻断保护，防止工作区内外气体交互</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468E2E73">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6. </w:t>
      </w:r>
      <w:r>
        <w:rPr>
          <w:rFonts w:hint="eastAsia"/>
          <w:color w:val="auto"/>
          <w:highlight w:val="none"/>
          <w:shd w:val="clear" w:color="auto" w:fill="auto"/>
          <w:lang w:eastAsia="zh-CN"/>
        </w:rPr>
        <w:t>凹盘式工作台，防止液体倾洒后外溢；凹盘深度≥1.5cm, 在频率10Hz和10kHz之间的振动净振幅不超过5um(rms)；</w:t>
      </w:r>
      <w:r>
        <w:rPr>
          <w:rFonts w:hint="eastAsia"/>
          <w:color w:val="auto"/>
          <w:highlight w:val="none"/>
          <w:shd w:val="clear" w:color="auto" w:fill="auto"/>
        </w:rPr>
        <w:t>工作台面中心</w:t>
      </w:r>
      <w:r>
        <w:rPr>
          <w:rFonts w:hint="eastAsia"/>
          <w:color w:val="auto"/>
          <w:highlight w:val="none"/>
          <w:shd w:val="clear" w:color="auto" w:fill="auto"/>
          <w:lang w:val="en-US" w:eastAsia="zh-CN"/>
        </w:rPr>
        <w:t>可</w:t>
      </w:r>
      <w:r>
        <w:rPr>
          <w:rFonts w:hint="eastAsia"/>
          <w:color w:val="auto"/>
          <w:highlight w:val="none"/>
          <w:shd w:val="clear" w:color="auto" w:fill="auto"/>
        </w:rPr>
        <w:t>加载</w:t>
      </w:r>
      <w:r>
        <w:rPr>
          <w:rFonts w:hint="eastAsia"/>
          <w:color w:val="auto"/>
          <w:highlight w:val="none"/>
          <w:shd w:val="clear" w:color="auto" w:fill="auto"/>
          <w:lang w:val="en-US" w:eastAsia="zh-CN"/>
        </w:rPr>
        <w:t>≥</w:t>
      </w:r>
      <w:r>
        <w:rPr>
          <w:rFonts w:hint="eastAsia"/>
          <w:color w:val="auto"/>
          <w:highlight w:val="none"/>
          <w:shd w:val="clear" w:color="auto" w:fill="auto"/>
        </w:rPr>
        <w:t>23kg压力，台面不产生变形</w:t>
      </w:r>
      <w:r>
        <w:rPr>
          <w:rFonts w:hint="eastAsia"/>
          <w:color w:val="auto"/>
          <w:highlight w:val="none"/>
          <w:shd w:val="clear" w:color="auto" w:fill="auto"/>
          <w:lang w:eastAsia="zh-CN"/>
        </w:rPr>
        <w:t>；</w:t>
      </w:r>
    </w:p>
    <w:p w14:paraId="1B62C9B1">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★7</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采用超高效过滤器ULPA，过滤效率≥99.9995%，0.12um</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3D108A04">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rPr>
        <w:t>▲</w:t>
      </w:r>
      <w:r>
        <w:rPr>
          <w:rFonts w:hint="eastAsia"/>
          <w:color w:val="auto"/>
          <w:highlight w:val="none"/>
          <w:shd w:val="clear" w:color="auto" w:fill="auto"/>
          <w:lang w:eastAsia="zh-CN"/>
        </w:rPr>
        <w:t>8</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前窗玻璃：单层防紫外线钢化玻璃同时覆一层防爆膜，单层玻璃厚度不低于6mm；玻璃门采用手动升降</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1EF568BE">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9</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4只万向脚轮，4只底脚不锈钢材质，高度可调，调节螺栓内置，无裸露螺纹；</w:t>
      </w:r>
    </w:p>
    <w:p w14:paraId="219CF479">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10</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负压通道专门设计异物过滤装置，防止纸屑等异物通过负压通道进入风机/过滤器影响产品正常运行；</w:t>
      </w:r>
    </w:p>
    <w:p w14:paraId="1352A520">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11</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风机：高性能静音风机，提供稳定的气流模型和层流，具有自动调节风速功能，保持恒风速；</w:t>
      </w:r>
    </w:p>
    <w:p w14:paraId="655D9503">
      <w:pPr>
        <w:pStyle w:val="20"/>
        <w:numPr>
          <w:ilvl w:val="0"/>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★12</w:t>
      </w:r>
      <w:r>
        <w:rPr>
          <w:rFonts w:hint="eastAsia"/>
          <w:color w:val="auto"/>
          <w:highlight w:val="none"/>
          <w:shd w:val="clear" w:color="auto" w:fill="auto"/>
          <w:lang w:val="en-US" w:eastAsia="zh-CN"/>
        </w:rPr>
        <w:t xml:space="preserve">. </w:t>
      </w:r>
      <w:r>
        <w:rPr>
          <w:rFonts w:hint="eastAsia"/>
          <w:color w:val="auto"/>
          <w:highlight w:val="none"/>
          <w:shd w:val="clear" w:color="auto" w:fill="auto"/>
          <w:lang w:eastAsia="zh-CN"/>
        </w:rPr>
        <w:t>风速：下降风速≥0.28m/s；流入风速≥0.50m/s</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2A0C4632">
      <w:pPr>
        <w:pStyle w:val="20"/>
        <w:numPr>
          <w:ilvl w:val="0"/>
          <w:numId w:val="4"/>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 xml:space="preserve">安全柜的噪声≤64dB(A)； </w:t>
      </w:r>
    </w:p>
    <w:p w14:paraId="3A68462B">
      <w:pPr>
        <w:pStyle w:val="20"/>
        <w:numPr>
          <w:ilvl w:val="0"/>
          <w:numId w:val="4"/>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人员保护：碘化钾法测试，前窗操作口的保护因子≥1×105；</w:t>
      </w:r>
    </w:p>
    <w:p w14:paraId="59F1A4C6">
      <w:pPr>
        <w:pStyle w:val="20"/>
        <w:numPr>
          <w:ilvl w:val="0"/>
          <w:numId w:val="4"/>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产品保护：在琼脂培养皿上的枯草芽孢杆菌芽孢不超过5CFU；</w:t>
      </w:r>
    </w:p>
    <w:p w14:paraId="6A3DE11D">
      <w:pPr>
        <w:pStyle w:val="20"/>
        <w:numPr>
          <w:ilvl w:val="0"/>
          <w:numId w:val="4"/>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交叉污染保护：在琼脂培养皿上的枯草芽孢杆菌芽孢不超过2CFU；</w:t>
      </w:r>
    </w:p>
    <w:p w14:paraId="6870C690">
      <w:pPr>
        <w:pStyle w:val="20"/>
        <w:numPr>
          <w:ilvl w:val="0"/>
          <w:numId w:val="4"/>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eastAsia="zh-CN"/>
        </w:rPr>
        <w:t xml:space="preserve">实时数字显示设备运行情况，其中下降气流流速和流入气流流速同时显示，记录安全柜的整体运行时间，UV灯的运行时间，高效过滤器的运行时间、运行状态； </w:t>
      </w:r>
    </w:p>
    <w:p w14:paraId="03F32B19">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rPr>
        <w:t>▲</w:t>
      </w:r>
      <w:r>
        <w:rPr>
          <w:rFonts w:hint="eastAsia"/>
          <w:color w:val="auto"/>
          <w:highlight w:val="none"/>
          <w:shd w:val="clear" w:color="auto" w:fill="auto"/>
          <w:lang w:val="en-US" w:eastAsia="zh-CN"/>
        </w:rPr>
        <w:t xml:space="preserve">18. </w:t>
      </w:r>
      <w:r>
        <w:rPr>
          <w:rFonts w:hint="eastAsia"/>
          <w:color w:val="auto"/>
          <w:highlight w:val="none"/>
          <w:shd w:val="clear" w:color="auto" w:fill="auto"/>
          <w:lang w:eastAsia="zh-CN"/>
        </w:rPr>
        <w:t>风压传感器，可实时监测并显示正压区和负压区的压力，压力变化超限时自动声光报警。同时可实时监测过滤器阻力，数字显示过滤器剩余使用寿命，在使用寿命剩余10%时自动提示</w:t>
      </w:r>
      <w:r>
        <w:rPr>
          <w:rFonts w:hint="eastAsia"/>
          <w:color w:val="auto"/>
          <w:highlight w:val="none"/>
          <w:shd w:val="clear" w:color="auto" w:fill="auto"/>
        </w:rPr>
        <w:t>；需要提供</w:t>
      </w:r>
      <w:r>
        <w:rPr>
          <w:rFonts w:hint="eastAsia"/>
          <w:color w:val="auto"/>
          <w:highlight w:val="none"/>
          <w:shd w:val="clear" w:color="auto" w:fill="auto"/>
          <w:lang w:val="en-US" w:eastAsia="zh-CN"/>
        </w:rPr>
        <w:t>白皮书、彩页或专利证书等</w:t>
      </w:r>
      <w:r>
        <w:rPr>
          <w:rFonts w:hint="eastAsia"/>
          <w:color w:val="auto"/>
          <w:highlight w:val="none"/>
          <w:shd w:val="clear" w:color="auto" w:fill="auto"/>
        </w:rPr>
        <w:t>证明资料</w:t>
      </w:r>
      <w:r>
        <w:rPr>
          <w:rFonts w:hint="eastAsia"/>
          <w:color w:val="auto"/>
          <w:highlight w:val="none"/>
          <w:shd w:val="clear" w:color="auto" w:fill="auto"/>
          <w:lang w:eastAsia="zh-CN"/>
        </w:rPr>
        <w:t>；</w:t>
      </w:r>
    </w:p>
    <w:p w14:paraId="6A6B8C57">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19. </w:t>
      </w:r>
      <w:r>
        <w:rPr>
          <w:rFonts w:hint="eastAsia"/>
          <w:color w:val="auto"/>
          <w:highlight w:val="none"/>
          <w:shd w:val="clear" w:color="auto" w:fill="auto"/>
          <w:lang w:eastAsia="zh-CN"/>
        </w:rPr>
        <w:t>智能联锁控制设计，配备两个磁吸合开关；打开前窗玻璃后，紫外灯应自动关闭，风机、照明灯自动开始运行；关闭前窗后，风机和荧光灯自动关闭；</w:t>
      </w:r>
    </w:p>
    <w:p w14:paraId="4D8853B2">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20. </w:t>
      </w:r>
      <w:r>
        <w:rPr>
          <w:rFonts w:hint="eastAsia"/>
          <w:color w:val="auto"/>
          <w:highlight w:val="none"/>
          <w:shd w:val="clear" w:color="auto" w:fill="auto"/>
          <w:lang w:eastAsia="zh-CN"/>
        </w:rPr>
        <w:t>一键式预约紫外灯消毒时间，在班前班后两个时段自动运行；只需预约一次，安全柜生命周期内无需再次预约，紫外灯按照预约时间自动开启消毒功能；</w:t>
      </w:r>
    </w:p>
    <w:p w14:paraId="1F15F5AC">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21. </w:t>
      </w:r>
      <w:r>
        <w:rPr>
          <w:rFonts w:hint="eastAsia"/>
          <w:color w:val="auto"/>
          <w:highlight w:val="none"/>
          <w:shd w:val="clear" w:color="auto" w:fill="auto"/>
          <w:lang w:eastAsia="zh-CN"/>
        </w:rPr>
        <w:t>12V直流LED照明灯，安全柜的平均照度≥1100LX；</w:t>
      </w:r>
    </w:p>
    <w:p w14:paraId="3FBE8B37">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22. </w:t>
      </w:r>
      <w:r>
        <w:rPr>
          <w:rFonts w:hint="eastAsia"/>
          <w:color w:val="auto"/>
          <w:highlight w:val="none"/>
          <w:shd w:val="clear" w:color="auto" w:fill="auto"/>
          <w:lang w:eastAsia="zh-CN"/>
        </w:rPr>
        <w:t>有开门高度警示功能，高精度定位，开门超高或过低均有声光报警提示；</w:t>
      </w:r>
    </w:p>
    <w:p w14:paraId="0E9DDABE">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23. </w:t>
      </w:r>
      <w:r>
        <w:rPr>
          <w:rFonts w:hint="eastAsia"/>
          <w:color w:val="auto"/>
          <w:highlight w:val="none"/>
          <w:shd w:val="clear" w:color="auto" w:fill="auto"/>
          <w:lang w:eastAsia="zh-CN"/>
        </w:rPr>
        <w:t>有监测气流波动功能，气流波动超过20%有声光报警提示；</w:t>
      </w:r>
    </w:p>
    <w:p w14:paraId="55ABDB92">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24. </w:t>
      </w:r>
      <w:r>
        <w:rPr>
          <w:rFonts w:hint="eastAsia"/>
          <w:color w:val="auto"/>
          <w:highlight w:val="none"/>
          <w:shd w:val="clear" w:color="auto" w:fill="auto"/>
          <w:lang w:eastAsia="zh-CN"/>
        </w:rPr>
        <w:t>有关门监测功能，未关严门有声光报警提示；</w:t>
      </w:r>
    </w:p>
    <w:p w14:paraId="729EEFE8">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25. </w:t>
      </w:r>
      <w:r>
        <w:rPr>
          <w:rFonts w:hint="eastAsia"/>
          <w:color w:val="auto"/>
          <w:highlight w:val="none"/>
          <w:shd w:val="clear" w:color="auto" w:fill="auto"/>
          <w:lang w:eastAsia="zh-CN"/>
        </w:rPr>
        <w:t>具有国家药监总局颁发的三类医疗器械注册证书,符合最新国标GB41918-2022 要求，需出具权威第三方检测机构按GB41918-2022标准进行测试合格的检测报告；</w:t>
      </w:r>
    </w:p>
    <w:p w14:paraId="0530A992">
      <w:pPr>
        <w:pStyle w:val="20"/>
        <w:numPr>
          <w:ilvl w:val="-1"/>
          <w:numId w:val="0"/>
        </w:numPr>
        <w:ind w:left="0" w:leftChars="0" w:firstLine="480" w:firstLineChars="200"/>
        <w:rPr>
          <w:rFonts w:hint="eastAsia"/>
          <w:color w:val="auto"/>
          <w:highlight w:val="none"/>
          <w:shd w:val="clear" w:color="auto" w:fill="auto"/>
          <w:lang w:eastAsia="zh-CN"/>
        </w:rPr>
      </w:pPr>
      <w:r>
        <w:rPr>
          <w:rFonts w:hint="eastAsia"/>
          <w:color w:val="auto"/>
          <w:highlight w:val="none"/>
          <w:shd w:val="clear" w:color="auto" w:fill="auto"/>
          <w:lang w:val="en-US" w:eastAsia="zh-CN"/>
        </w:rPr>
        <w:t xml:space="preserve">26. </w:t>
      </w:r>
      <w:r>
        <w:rPr>
          <w:rFonts w:hint="eastAsia"/>
          <w:color w:val="auto"/>
          <w:highlight w:val="none"/>
          <w:shd w:val="clear" w:color="auto" w:fill="auto"/>
        </w:rPr>
        <w:t>生产企业</w:t>
      </w:r>
      <w:r>
        <w:rPr>
          <w:rFonts w:hint="eastAsia"/>
          <w:color w:val="auto"/>
          <w:highlight w:val="none"/>
          <w:shd w:val="clear" w:color="auto" w:fill="auto"/>
          <w:lang w:val="en-US" w:eastAsia="zh-CN"/>
        </w:rPr>
        <w:t>至少</w:t>
      </w:r>
      <w:r>
        <w:rPr>
          <w:rFonts w:hint="eastAsia"/>
          <w:color w:val="auto"/>
          <w:highlight w:val="none"/>
          <w:shd w:val="clear" w:color="auto" w:fill="auto"/>
        </w:rPr>
        <w:t>需通过ISO9001</w:t>
      </w:r>
      <w:r>
        <w:rPr>
          <w:rFonts w:hint="eastAsia"/>
          <w:color w:val="auto"/>
          <w:highlight w:val="none"/>
          <w:shd w:val="clear" w:color="auto" w:fill="auto"/>
          <w:lang w:eastAsia="zh-CN"/>
        </w:rPr>
        <w:t>、</w:t>
      </w:r>
      <w:r>
        <w:rPr>
          <w:rFonts w:hint="eastAsia"/>
          <w:color w:val="auto"/>
          <w:highlight w:val="none"/>
          <w:shd w:val="clear" w:color="auto" w:fill="auto"/>
        </w:rPr>
        <w:t>ISO13485</w:t>
      </w:r>
      <w:r>
        <w:rPr>
          <w:rFonts w:hint="eastAsia"/>
          <w:color w:val="auto"/>
          <w:highlight w:val="none"/>
          <w:shd w:val="clear" w:color="auto" w:fill="auto"/>
          <w:lang w:eastAsia="zh-CN"/>
        </w:rPr>
        <w:t>、</w:t>
      </w:r>
      <w:r>
        <w:rPr>
          <w:rFonts w:hint="eastAsia"/>
          <w:color w:val="auto"/>
          <w:highlight w:val="none"/>
          <w:shd w:val="clear" w:color="auto" w:fill="auto"/>
        </w:rPr>
        <w:t>ISO14001</w:t>
      </w:r>
      <w:r>
        <w:rPr>
          <w:rFonts w:hint="eastAsia"/>
          <w:color w:val="auto"/>
          <w:highlight w:val="none"/>
          <w:shd w:val="clear" w:color="auto" w:fill="auto"/>
          <w:lang w:val="en-US" w:eastAsia="zh-CN"/>
        </w:rPr>
        <w:t>和</w:t>
      </w:r>
      <w:r>
        <w:rPr>
          <w:rFonts w:hint="eastAsia"/>
          <w:color w:val="auto"/>
          <w:highlight w:val="none"/>
          <w:shd w:val="clear" w:color="auto" w:fill="auto"/>
        </w:rPr>
        <w:t>ISO45001认证</w:t>
      </w:r>
      <w:r>
        <w:rPr>
          <w:rFonts w:hint="eastAsia"/>
          <w:color w:val="auto"/>
          <w:highlight w:val="none"/>
          <w:shd w:val="clear" w:color="auto" w:fill="auto"/>
          <w:lang w:eastAsia="zh-CN"/>
        </w:rPr>
        <w:t>；</w:t>
      </w:r>
    </w:p>
    <w:p w14:paraId="69624A20">
      <w:pPr>
        <w:pStyle w:val="20"/>
        <w:ind w:left="0" w:leftChars="0" w:firstLine="480" w:firstLineChars="0"/>
        <w:rPr>
          <w:color w:val="auto"/>
          <w:highlight w:val="none"/>
          <w:shd w:val="clear" w:color="auto" w:fill="auto"/>
        </w:rPr>
      </w:pPr>
      <w:r>
        <w:rPr>
          <w:rFonts w:hint="eastAsia"/>
          <w:color w:val="auto"/>
          <w:highlight w:val="none"/>
          <w:shd w:val="clear" w:color="auto" w:fill="auto"/>
          <w:lang w:val="en-US" w:eastAsia="zh-CN"/>
        </w:rPr>
        <w:t>（三）</w:t>
      </w:r>
      <w:r>
        <w:rPr>
          <w:rFonts w:hint="eastAsia"/>
          <w:color w:val="auto"/>
          <w:highlight w:val="none"/>
          <w:shd w:val="clear" w:color="auto" w:fill="auto"/>
        </w:rPr>
        <w:t>配置清单</w:t>
      </w:r>
    </w:p>
    <w:tbl>
      <w:tblPr>
        <w:tblStyle w:val="12"/>
        <w:tblpPr w:leftFromText="180" w:rightFromText="180" w:vertAnchor="text" w:horzAnchor="margin" w:tblpY="3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246"/>
        <w:gridCol w:w="924"/>
        <w:gridCol w:w="892"/>
      </w:tblGrid>
      <w:tr w14:paraId="74A6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2C990257">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编号</w:t>
            </w:r>
          </w:p>
        </w:tc>
        <w:tc>
          <w:tcPr>
            <w:tcW w:w="5246" w:type="dxa"/>
            <w:tcBorders>
              <w:top w:val="single" w:color="auto" w:sz="4" w:space="0"/>
              <w:left w:val="single" w:color="auto" w:sz="4" w:space="0"/>
              <w:bottom w:val="single" w:color="auto" w:sz="4" w:space="0"/>
              <w:right w:val="single" w:color="auto" w:sz="4" w:space="0"/>
            </w:tcBorders>
            <w:vAlign w:val="center"/>
          </w:tcPr>
          <w:p w14:paraId="20FFCEA2">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名称</w:t>
            </w:r>
          </w:p>
        </w:tc>
        <w:tc>
          <w:tcPr>
            <w:tcW w:w="924" w:type="dxa"/>
            <w:tcBorders>
              <w:top w:val="single" w:color="auto" w:sz="4" w:space="0"/>
              <w:left w:val="single" w:color="auto" w:sz="4" w:space="0"/>
              <w:bottom w:val="single" w:color="auto" w:sz="4" w:space="0"/>
              <w:right w:val="single" w:color="auto" w:sz="4" w:space="0"/>
            </w:tcBorders>
            <w:vAlign w:val="center"/>
          </w:tcPr>
          <w:p w14:paraId="024B02A4">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单位</w:t>
            </w:r>
          </w:p>
        </w:tc>
        <w:tc>
          <w:tcPr>
            <w:tcW w:w="892" w:type="dxa"/>
            <w:tcBorders>
              <w:top w:val="single" w:color="auto" w:sz="4" w:space="0"/>
              <w:left w:val="single" w:color="auto" w:sz="4" w:space="0"/>
              <w:bottom w:val="single" w:color="auto" w:sz="4" w:space="0"/>
              <w:right w:val="single" w:color="auto" w:sz="4" w:space="0"/>
            </w:tcBorders>
            <w:vAlign w:val="center"/>
          </w:tcPr>
          <w:p w14:paraId="46D28F62">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数量</w:t>
            </w:r>
          </w:p>
        </w:tc>
      </w:tr>
      <w:tr w14:paraId="550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6D40E741">
            <w:pPr>
              <w:framePr w:wrap="auto" w:vAnchor="margin" w:hAnchor="text" w:yAlign="inline"/>
              <w:spacing w:line="360" w:lineRule="auto"/>
              <w:jc w:val="center"/>
              <w:rPr>
                <w:rFonts w:ascii="仿宋" w:hAnsi="仿宋" w:eastAsia="仿宋" w:cs="仿宋"/>
                <w:bCs/>
                <w:color w:val="auto"/>
                <w:highlight w:val="none"/>
                <w:shd w:val="clear" w:color="auto" w:fill="auto"/>
              </w:rPr>
            </w:pPr>
            <w:r>
              <w:rPr>
                <w:rFonts w:hint="eastAsia" w:ascii="仿宋" w:hAnsi="仿宋" w:eastAsia="仿宋" w:cs="仿宋"/>
                <w:bCs/>
                <w:color w:val="auto"/>
                <w:highlight w:val="none"/>
                <w:shd w:val="clear" w:color="auto" w:fill="auto"/>
              </w:rPr>
              <w:t>1</w:t>
            </w:r>
          </w:p>
        </w:tc>
        <w:tc>
          <w:tcPr>
            <w:tcW w:w="5246" w:type="dxa"/>
            <w:tcBorders>
              <w:top w:val="single" w:color="auto" w:sz="4" w:space="0"/>
              <w:left w:val="single" w:color="auto" w:sz="4" w:space="0"/>
              <w:bottom w:val="single" w:color="auto" w:sz="4" w:space="0"/>
              <w:right w:val="single" w:color="auto" w:sz="4" w:space="0"/>
            </w:tcBorders>
            <w:vAlign w:val="center"/>
          </w:tcPr>
          <w:p w14:paraId="7E13588B">
            <w:pPr>
              <w:framePr w:wrap="auto" w:vAnchor="margin" w:hAnchor="text" w:yAlign="inline"/>
              <w:spacing w:line="360" w:lineRule="auto"/>
              <w:jc w:val="center"/>
              <w:rPr>
                <w:rFonts w:ascii="仿宋" w:hAnsi="仿宋" w:eastAsia="仿宋" w:cs="仿宋"/>
                <w:bCs/>
                <w:color w:val="auto"/>
                <w:highlight w:val="none"/>
                <w:shd w:val="clear" w:color="auto" w:fill="auto"/>
                <w:lang w:eastAsia="zh-CN"/>
              </w:rPr>
            </w:pPr>
            <w:r>
              <w:rPr>
                <w:rFonts w:hint="eastAsia" w:ascii="仿宋" w:hAnsi="仿宋" w:eastAsia="仿宋" w:cs="仿宋"/>
                <w:bCs/>
                <w:color w:val="auto"/>
                <w:highlight w:val="none"/>
                <w:shd w:val="clear" w:color="auto" w:fill="auto"/>
                <w:lang w:eastAsia="zh-CN"/>
              </w:rPr>
              <w:t>II级A2型生物安全柜</w:t>
            </w:r>
          </w:p>
        </w:tc>
        <w:tc>
          <w:tcPr>
            <w:tcW w:w="924" w:type="dxa"/>
            <w:tcBorders>
              <w:top w:val="single" w:color="auto" w:sz="4" w:space="0"/>
              <w:left w:val="single" w:color="auto" w:sz="4" w:space="0"/>
              <w:bottom w:val="single" w:color="auto" w:sz="4" w:space="0"/>
              <w:right w:val="single" w:color="auto" w:sz="4" w:space="0"/>
            </w:tcBorders>
            <w:vAlign w:val="center"/>
          </w:tcPr>
          <w:p w14:paraId="1E5A0B8C">
            <w:pPr>
              <w:framePr w:wrap="auto" w:vAnchor="margin" w:hAnchor="text" w:yAlign="inline"/>
              <w:spacing w:line="360" w:lineRule="auto"/>
              <w:jc w:val="center"/>
              <w:rPr>
                <w:rFonts w:ascii="仿宋" w:hAnsi="仿宋" w:eastAsia="仿宋" w:cs="仿宋"/>
                <w:bCs/>
                <w:color w:val="auto"/>
                <w:highlight w:val="none"/>
                <w:shd w:val="clear" w:color="auto" w:fill="auto"/>
                <w:lang w:eastAsia="zh-CN"/>
              </w:rPr>
            </w:pPr>
            <w:r>
              <w:rPr>
                <w:rFonts w:hint="eastAsia" w:ascii="仿宋" w:hAnsi="仿宋" w:eastAsia="仿宋" w:cs="仿宋"/>
                <w:bCs/>
                <w:color w:val="auto"/>
                <w:highlight w:val="none"/>
                <w:shd w:val="clear" w:color="auto" w:fill="auto"/>
                <w:lang w:val="en-US" w:eastAsia="zh-CN"/>
              </w:rPr>
              <w:t>台</w:t>
            </w:r>
          </w:p>
        </w:tc>
        <w:tc>
          <w:tcPr>
            <w:tcW w:w="892" w:type="dxa"/>
            <w:tcBorders>
              <w:top w:val="single" w:color="auto" w:sz="4" w:space="0"/>
              <w:left w:val="single" w:color="auto" w:sz="4" w:space="0"/>
              <w:bottom w:val="single" w:color="auto" w:sz="4" w:space="0"/>
              <w:right w:val="single" w:color="auto" w:sz="4" w:space="0"/>
            </w:tcBorders>
            <w:vAlign w:val="center"/>
          </w:tcPr>
          <w:p w14:paraId="742ECB7B">
            <w:pPr>
              <w:framePr w:wrap="auto" w:vAnchor="margin" w:hAnchor="text" w:yAlign="inline"/>
              <w:spacing w:line="360" w:lineRule="auto"/>
              <w:jc w:val="center"/>
              <w:rPr>
                <w:rFonts w:ascii="仿宋" w:hAnsi="仿宋" w:eastAsia="仿宋" w:cs="仿宋"/>
                <w:bCs/>
                <w:color w:val="auto"/>
                <w:highlight w:val="none"/>
                <w:shd w:val="clear" w:color="auto" w:fill="auto"/>
                <w:lang w:eastAsia="zh-CN"/>
              </w:rPr>
            </w:pPr>
            <w:r>
              <w:rPr>
                <w:rFonts w:hint="eastAsia" w:ascii="仿宋" w:hAnsi="仿宋" w:eastAsia="仿宋" w:cs="仿宋"/>
                <w:bCs/>
                <w:color w:val="auto"/>
                <w:highlight w:val="none"/>
                <w:shd w:val="clear" w:color="auto" w:fill="auto"/>
                <w:lang w:val="en-US" w:eastAsia="zh-CN"/>
              </w:rPr>
              <w:t>5</w:t>
            </w:r>
          </w:p>
        </w:tc>
      </w:tr>
      <w:tr w14:paraId="37FD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2FFA305C">
            <w:pPr>
              <w:framePr w:wrap="auto" w:vAnchor="margin" w:hAnchor="text" w:yAlign="inline"/>
              <w:spacing w:line="360" w:lineRule="auto"/>
              <w:jc w:val="center"/>
              <w:rPr>
                <w:rFonts w:hint="eastAsia" w:ascii="仿宋" w:hAnsi="仿宋" w:eastAsia="仿宋" w:cs="仿宋"/>
                <w:bCs/>
                <w:color w:val="auto"/>
                <w:highlight w:val="none"/>
                <w:shd w:val="clear" w:color="auto" w:fill="auto"/>
                <w:lang w:val="en-US" w:eastAsia="zh-CN"/>
              </w:rPr>
            </w:pPr>
            <w:r>
              <w:rPr>
                <w:rFonts w:hint="eastAsia" w:ascii="仿宋" w:hAnsi="仿宋" w:eastAsia="仿宋" w:cs="仿宋"/>
                <w:bCs/>
                <w:color w:val="auto"/>
                <w:highlight w:val="none"/>
                <w:shd w:val="clear" w:color="auto" w:fill="auto"/>
                <w:lang w:val="en-US" w:eastAsia="zh-CN"/>
              </w:rPr>
              <w:t>2</w:t>
            </w:r>
          </w:p>
        </w:tc>
        <w:tc>
          <w:tcPr>
            <w:tcW w:w="5246" w:type="dxa"/>
            <w:tcBorders>
              <w:top w:val="single" w:color="auto" w:sz="4" w:space="0"/>
              <w:left w:val="single" w:color="auto" w:sz="4" w:space="0"/>
              <w:bottom w:val="single" w:color="auto" w:sz="4" w:space="0"/>
              <w:right w:val="single" w:color="auto" w:sz="4" w:space="0"/>
            </w:tcBorders>
            <w:vAlign w:val="center"/>
          </w:tcPr>
          <w:p w14:paraId="5E192CE1">
            <w:pPr>
              <w:framePr w:wrap="auto" w:vAnchor="margin" w:hAnchor="text" w:yAlign="inline"/>
              <w:spacing w:line="360" w:lineRule="auto"/>
              <w:jc w:val="center"/>
              <w:rPr>
                <w:rFonts w:hint="eastAsia" w:ascii="仿宋" w:hAnsi="仿宋" w:eastAsia="仿宋" w:cs="仿宋"/>
                <w:bCs/>
                <w:color w:val="auto"/>
                <w:highlight w:val="none"/>
                <w:shd w:val="clear" w:color="auto" w:fill="auto"/>
                <w:lang w:eastAsia="zh-CN"/>
              </w:rPr>
            </w:pPr>
            <w:r>
              <w:rPr>
                <w:rFonts w:hint="eastAsia" w:ascii="仿宋" w:hAnsi="仿宋" w:eastAsia="仿宋" w:cs="仿宋"/>
                <w:bCs/>
                <w:color w:val="auto"/>
                <w:highlight w:val="none"/>
                <w:shd w:val="clear" w:color="auto" w:fill="auto"/>
                <w:lang w:eastAsia="zh-CN"/>
              </w:rPr>
              <w:t>II级B2型生物安全柜</w:t>
            </w:r>
          </w:p>
        </w:tc>
        <w:tc>
          <w:tcPr>
            <w:tcW w:w="924" w:type="dxa"/>
            <w:tcBorders>
              <w:top w:val="single" w:color="auto" w:sz="4" w:space="0"/>
              <w:left w:val="single" w:color="auto" w:sz="4" w:space="0"/>
              <w:bottom w:val="single" w:color="auto" w:sz="4" w:space="0"/>
              <w:right w:val="single" w:color="auto" w:sz="4" w:space="0"/>
            </w:tcBorders>
            <w:vAlign w:val="center"/>
          </w:tcPr>
          <w:p w14:paraId="28635B8E">
            <w:pPr>
              <w:framePr w:wrap="auto" w:vAnchor="margin" w:hAnchor="text" w:yAlign="inline"/>
              <w:spacing w:line="360" w:lineRule="auto"/>
              <w:jc w:val="center"/>
              <w:rPr>
                <w:rFonts w:hint="default" w:ascii="仿宋" w:hAnsi="仿宋" w:eastAsia="仿宋" w:cs="仿宋"/>
                <w:bCs/>
                <w:color w:val="auto"/>
                <w:highlight w:val="none"/>
                <w:shd w:val="clear" w:color="auto" w:fill="auto"/>
                <w:lang w:val="en-US" w:eastAsia="zh-CN"/>
              </w:rPr>
            </w:pPr>
            <w:r>
              <w:rPr>
                <w:rFonts w:hint="eastAsia" w:ascii="仿宋" w:hAnsi="仿宋" w:eastAsia="仿宋" w:cs="仿宋"/>
                <w:bCs/>
                <w:color w:val="auto"/>
                <w:highlight w:val="none"/>
                <w:shd w:val="clear" w:color="auto" w:fill="auto"/>
                <w:lang w:val="en-US" w:eastAsia="zh-CN"/>
              </w:rPr>
              <w:t>台</w:t>
            </w:r>
          </w:p>
        </w:tc>
        <w:tc>
          <w:tcPr>
            <w:tcW w:w="892" w:type="dxa"/>
            <w:tcBorders>
              <w:top w:val="single" w:color="auto" w:sz="4" w:space="0"/>
              <w:left w:val="single" w:color="auto" w:sz="4" w:space="0"/>
              <w:bottom w:val="single" w:color="auto" w:sz="4" w:space="0"/>
              <w:right w:val="single" w:color="auto" w:sz="4" w:space="0"/>
            </w:tcBorders>
            <w:vAlign w:val="center"/>
          </w:tcPr>
          <w:p w14:paraId="6D211B0A">
            <w:pPr>
              <w:framePr w:wrap="auto" w:vAnchor="margin" w:hAnchor="text" w:yAlign="inline"/>
              <w:spacing w:line="360" w:lineRule="auto"/>
              <w:jc w:val="center"/>
              <w:rPr>
                <w:rFonts w:hint="default" w:ascii="仿宋" w:hAnsi="仿宋" w:eastAsia="仿宋" w:cs="仿宋"/>
                <w:bCs/>
                <w:color w:val="auto"/>
                <w:highlight w:val="none"/>
                <w:shd w:val="clear" w:color="auto" w:fill="auto"/>
                <w:lang w:val="en-US" w:eastAsia="zh-CN"/>
              </w:rPr>
            </w:pPr>
            <w:r>
              <w:rPr>
                <w:rFonts w:hint="eastAsia" w:ascii="仿宋" w:hAnsi="仿宋" w:eastAsia="仿宋" w:cs="仿宋"/>
                <w:bCs/>
                <w:color w:val="auto"/>
                <w:highlight w:val="none"/>
                <w:shd w:val="clear" w:color="auto" w:fill="auto"/>
                <w:lang w:val="en-US" w:eastAsia="zh-CN"/>
              </w:rPr>
              <w:t>1</w:t>
            </w:r>
          </w:p>
        </w:tc>
      </w:tr>
    </w:tbl>
    <w:p w14:paraId="39311837">
      <w:pPr>
        <w:pStyle w:val="20"/>
        <w:rPr>
          <w:color w:val="auto"/>
          <w:highlight w:val="none"/>
          <w:shd w:val="clear" w:color="auto" w:fill="auto"/>
        </w:rPr>
      </w:pPr>
    </w:p>
    <w:p w14:paraId="182B1E87">
      <w:pPr>
        <w:pStyle w:val="20"/>
        <w:numPr>
          <w:ilvl w:val="0"/>
          <w:numId w:val="5"/>
        </w:numPr>
        <w:rPr>
          <w:color w:val="auto"/>
          <w:highlight w:val="none"/>
          <w:shd w:val="clear" w:color="auto" w:fill="auto"/>
        </w:rPr>
      </w:pPr>
      <w:r>
        <w:rPr>
          <w:rFonts w:hint="eastAsia"/>
          <w:color w:val="auto"/>
          <w:highlight w:val="none"/>
          <w:shd w:val="clear" w:color="auto" w:fill="auto"/>
        </w:rPr>
        <w:t>商务条件</w:t>
      </w:r>
    </w:p>
    <w:p w14:paraId="53C051D0">
      <w:pPr>
        <w:pStyle w:val="20"/>
        <w:rPr>
          <w:color w:val="auto"/>
          <w:highlight w:val="none"/>
          <w:shd w:val="clear" w:color="auto" w:fill="auto"/>
        </w:rPr>
      </w:pPr>
      <w:r>
        <w:rPr>
          <w:rFonts w:hint="eastAsia"/>
          <w:color w:val="auto"/>
          <w:highlight w:val="none"/>
          <w:shd w:val="clear" w:color="auto" w:fill="auto"/>
        </w:rPr>
        <w:t xml:space="preserve">1.交付地点：复旦大学附属中山医院厦门医院 </w:t>
      </w:r>
    </w:p>
    <w:p w14:paraId="560D3F1A">
      <w:pPr>
        <w:pStyle w:val="20"/>
        <w:rPr>
          <w:color w:val="auto"/>
          <w:highlight w:val="none"/>
          <w:shd w:val="clear" w:color="auto" w:fill="auto"/>
        </w:rPr>
      </w:pPr>
      <w:r>
        <w:rPr>
          <w:rFonts w:hint="eastAsia"/>
          <w:color w:val="auto"/>
          <w:highlight w:val="none"/>
          <w:shd w:val="clear" w:color="auto" w:fill="auto"/>
        </w:rPr>
        <w:t>2.交付时间：合同签订后国内产品60天内，进口产品90天内到货。</w:t>
      </w:r>
    </w:p>
    <w:p w14:paraId="214DF7C1">
      <w:pPr>
        <w:pStyle w:val="20"/>
        <w:rPr>
          <w:color w:val="auto"/>
          <w:highlight w:val="none"/>
          <w:shd w:val="clear" w:color="auto" w:fill="auto"/>
        </w:rPr>
      </w:pPr>
      <w:r>
        <w:rPr>
          <w:rFonts w:hint="eastAsia"/>
          <w:color w:val="auto"/>
          <w:highlight w:val="none"/>
          <w:shd w:val="clear" w:color="auto" w:fill="auto"/>
        </w:rPr>
        <w:t>3.验收：调试安装并由成交供应商提供专业培训，保证采购方人员熟练操作。</w:t>
      </w:r>
    </w:p>
    <w:p w14:paraId="68527A37">
      <w:pPr>
        <w:pStyle w:val="20"/>
        <w:rPr>
          <w:color w:val="auto"/>
          <w:highlight w:val="none"/>
          <w:shd w:val="clear" w:color="auto" w:fill="auto"/>
        </w:rPr>
      </w:pPr>
      <w:r>
        <w:rPr>
          <w:rFonts w:hint="eastAsia"/>
          <w:color w:val="auto"/>
          <w:highlight w:val="none"/>
          <w:shd w:val="clear" w:color="auto" w:fill="auto"/>
        </w:rPr>
        <w:t>4.支付方式：双方合同签订后，支付合同价款的90%作为预付款。采购货物安装调试验收合格正常使用后付货款的10%。</w:t>
      </w:r>
    </w:p>
    <w:p w14:paraId="7FA46581">
      <w:pPr>
        <w:pStyle w:val="20"/>
        <w:rPr>
          <w:color w:val="auto"/>
          <w:highlight w:val="none"/>
          <w:shd w:val="clear" w:color="auto" w:fill="auto"/>
        </w:rPr>
      </w:pPr>
      <w:r>
        <w:rPr>
          <w:rFonts w:hint="eastAsia"/>
          <w:color w:val="auto"/>
          <w:highlight w:val="none"/>
          <w:shd w:val="clear" w:color="auto" w:fill="auto"/>
        </w:rPr>
        <w:t>5.报价要求</w:t>
      </w:r>
    </w:p>
    <w:p w14:paraId="7531DEEE">
      <w:pPr>
        <w:pStyle w:val="20"/>
        <w:rPr>
          <w:color w:val="auto"/>
          <w:highlight w:val="none"/>
          <w:shd w:val="clear" w:color="auto" w:fill="auto"/>
        </w:rPr>
      </w:pPr>
      <w:r>
        <w:rPr>
          <w:rFonts w:hint="eastAsia"/>
          <w:color w:val="auto"/>
          <w:highlight w:val="none"/>
          <w:shd w:val="clear" w:color="auto" w:fill="auto"/>
        </w:rPr>
        <w:t>5.1总报价为货物送达采购人指定地点并安装、调试完成，经采购人验收合格所有可能发生的费用，包括但不限于设备费、运输、保险费、采购保管、辅材、人工费、安装、调试、产品检验检测、验收、操作人员培训、税金以及售后服务等费用。</w:t>
      </w:r>
    </w:p>
    <w:p w14:paraId="0B55B915">
      <w:pPr>
        <w:pStyle w:val="20"/>
        <w:rPr>
          <w:color w:val="auto"/>
          <w:highlight w:val="none"/>
          <w:shd w:val="clear" w:color="auto" w:fill="auto"/>
        </w:rPr>
      </w:pPr>
      <w:r>
        <w:rPr>
          <w:rFonts w:hint="eastAsia"/>
          <w:color w:val="auto"/>
          <w:highlight w:val="none"/>
          <w:shd w:val="clear" w:color="auto" w:fill="auto"/>
        </w:rPr>
        <w:t>5.2供应商对每项标的只允许有一个报价，并且在合同履行过程中是固定不变的，不得以任何理由予以变更。以可变动价格提交的报价将被认为是非实质响应而被否决。</w:t>
      </w:r>
    </w:p>
    <w:p w14:paraId="019F2980">
      <w:pPr>
        <w:pStyle w:val="20"/>
        <w:rPr>
          <w:color w:val="auto"/>
          <w:highlight w:val="none"/>
          <w:shd w:val="clear" w:color="auto" w:fill="auto"/>
        </w:rPr>
      </w:pPr>
      <w:r>
        <w:rPr>
          <w:rFonts w:hint="eastAsia"/>
          <w:color w:val="auto"/>
          <w:highlight w:val="none"/>
          <w:shd w:val="clear" w:color="auto" w:fill="auto"/>
        </w:rPr>
        <w:t>★5.3本采购项目的采购预算为人民币壹拾</w:t>
      </w:r>
      <w:r>
        <w:rPr>
          <w:rFonts w:hint="eastAsia"/>
          <w:color w:val="auto"/>
          <w:highlight w:val="none"/>
          <w:shd w:val="clear" w:color="auto" w:fill="auto"/>
          <w:lang w:val="en-US" w:eastAsia="zh-CN"/>
        </w:rPr>
        <w:t>陆万</w:t>
      </w:r>
      <w:r>
        <w:rPr>
          <w:rFonts w:hint="eastAsia"/>
          <w:color w:val="auto"/>
          <w:highlight w:val="none"/>
          <w:shd w:val="clear" w:color="auto" w:fill="auto"/>
        </w:rPr>
        <w:t>元整（￥</w:t>
      </w:r>
      <w:r>
        <w:rPr>
          <w:color w:val="auto"/>
          <w:highlight w:val="none"/>
          <w:shd w:val="clear" w:color="auto" w:fill="auto"/>
        </w:rPr>
        <w:t>1</w:t>
      </w:r>
      <w:r>
        <w:rPr>
          <w:rFonts w:hint="eastAsia"/>
          <w:color w:val="auto"/>
          <w:highlight w:val="none"/>
          <w:shd w:val="clear" w:color="auto" w:fill="auto"/>
          <w:lang w:val="en-US" w:eastAsia="zh-CN"/>
        </w:rPr>
        <w:t>6</w:t>
      </w:r>
      <w:r>
        <w:rPr>
          <w:rFonts w:hint="eastAsia"/>
          <w:color w:val="auto"/>
          <w:highlight w:val="none"/>
          <w:shd w:val="clear" w:color="auto" w:fill="auto"/>
        </w:rPr>
        <w:t>0000.00），采购预算为供应商报价的最高限价，超过采购预算的，其比价文件将被否决。</w:t>
      </w:r>
    </w:p>
    <w:p w14:paraId="6DED0CA3">
      <w:pPr>
        <w:pStyle w:val="20"/>
        <w:rPr>
          <w:color w:val="auto"/>
          <w:highlight w:val="none"/>
          <w:shd w:val="clear" w:color="auto" w:fill="auto"/>
        </w:rPr>
      </w:pPr>
      <w:r>
        <w:rPr>
          <w:rFonts w:hint="eastAsia"/>
          <w:color w:val="auto"/>
          <w:highlight w:val="none"/>
          <w:shd w:val="clear" w:color="auto" w:fill="auto"/>
        </w:rPr>
        <w:t>6.验收条件</w:t>
      </w:r>
    </w:p>
    <w:p w14:paraId="77930D4E">
      <w:pPr>
        <w:pStyle w:val="20"/>
        <w:rPr>
          <w:color w:val="auto"/>
          <w:highlight w:val="none"/>
          <w:shd w:val="clear" w:color="auto" w:fill="auto"/>
        </w:rPr>
      </w:pPr>
      <w:r>
        <w:rPr>
          <w:rFonts w:hint="eastAsia"/>
          <w:color w:val="auto"/>
          <w:highlight w:val="none"/>
          <w:shd w:val="clear" w:color="auto" w:fill="auto"/>
        </w:rPr>
        <w:t>6.1成交供应商提供设备的制造标准、安装标准及技术规范等有关资料必须符合国家相应的有关标准、规范要求。</w:t>
      </w:r>
    </w:p>
    <w:p w14:paraId="093A55B9">
      <w:pPr>
        <w:pStyle w:val="20"/>
        <w:rPr>
          <w:color w:val="auto"/>
          <w:highlight w:val="none"/>
          <w:shd w:val="clear" w:color="auto" w:fill="auto"/>
        </w:rPr>
      </w:pPr>
      <w:r>
        <w:rPr>
          <w:rFonts w:hint="eastAsia"/>
          <w:color w:val="auto"/>
          <w:highlight w:val="none"/>
          <w:shd w:val="clear" w:color="auto" w:fill="auto"/>
        </w:rPr>
        <w:t>6.2采购人根据比价文件、成交供应商的比价文件、合同、制造厂商的产品验收标准及中华人民共和国有关标准进行验收。</w:t>
      </w:r>
    </w:p>
    <w:p w14:paraId="4436425A">
      <w:pPr>
        <w:pStyle w:val="20"/>
        <w:rPr>
          <w:color w:val="auto"/>
          <w:highlight w:val="none"/>
          <w:shd w:val="clear" w:color="auto" w:fill="auto"/>
        </w:rPr>
      </w:pPr>
      <w:r>
        <w:rPr>
          <w:rFonts w:hint="eastAsia"/>
          <w:color w:val="auto"/>
          <w:highlight w:val="none"/>
          <w:shd w:val="clear" w:color="auto" w:fill="auto"/>
        </w:rPr>
        <w:t>6.3成交供应商应提供货物制造商的出厂检验报告、合格证书。</w:t>
      </w:r>
    </w:p>
    <w:p w14:paraId="42ED95B1">
      <w:pPr>
        <w:pStyle w:val="20"/>
        <w:rPr>
          <w:color w:val="auto"/>
          <w:highlight w:val="none"/>
          <w:shd w:val="clear" w:color="auto" w:fill="auto"/>
        </w:rPr>
      </w:pPr>
      <w:r>
        <w:rPr>
          <w:rFonts w:hint="eastAsia"/>
          <w:color w:val="auto"/>
          <w:highlight w:val="none"/>
          <w:shd w:val="clear" w:color="auto" w:fill="auto"/>
        </w:rPr>
        <w:t>6.4成交供应商根据合同要求进行货物安装、调试后，由采购人进行使用性能方面的验收。</w:t>
      </w:r>
    </w:p>
    <w:p w14:paraId="1050414C">
      <w:pPr>
        <w:pStyle w:val="20"/>
        <w:rPr>
          <w:color w:val="auto"/>
          <w:highlight w:val="none"/>
          <w:shd w:val="clear" w:color="auto" w:fill="auto"/>
        </w:rPr>
      </w:pPr>
      <w:r>
        <w:rPr>
          <w:rFonts w:hint="eastAsia"/>
          <w:color w:val="auto"/>
          <w:highlight w:val="none"/>
          <w:shd w:val="clear" w:color="auto" w:fill="auto"/>
        </w:rPr>
        <w:t>6.5成交供应商应向采购人提供完整的设备技术资料，采购人有权委托国家认可的质量检测机构对设备性能、精度进行复核。</w:t>
      </w:r>
    </w:p>
    <w:p w14:paraId="3D1AC2D2">
      <w:pPr>
        <w:pStyle w:val="20"/>
        <w:rPr>
          <w:color w:val="auto"/>
          <w:highlight w:val="none"/>
          <w:shd w:val="clear" w:color="auto" w:fill="auto"/>
        </w:rPr>
      </w:pPr>
      <w:r>
        <w:rPr>
          <w:rFonts w:hint="eastAsia"/>
          <w:color w:val="auto"/>
          <w:highlight w:val="none"/>
          <w:shd w:val="clear" w:color="auto" w:fill="auto"/>
        </w:rPr>
        <w:t>7.售后服务要求</w:t>
      </w:r>
    </w:p>
    <w:p w14:paraId="0A8522ED">
      <w:pPr>
        <w:pStyle w:val="20"/>
        <w:rPr>
          <w:color w:val="auto"/>
          <w:highlight w:val="none"/>
          <w:shd w:val="clear" w:color="auto" w:fill="auto"/>
        </w:rPr>
      </w:pPr>
      <w:r>
        <w:rPr>
          <w:rFonts w:hint="eastAsia"/>
          <w:color w:val="auto"/>
          <w:highlight w:val="none"/>
          <w:shd w:val="clear" w:color="auto" w:fill="auto"/>
        </w:rPr>
        <w:t>★7.1售后要求：产品保修期至少</w:t>
      </w:r>
      <w:r>
        <w:rPr>
          <w:rFonts w:hint="eastAsia"/>
          <w:color w:val="auto"/>
          <w:highlight w:val="none"/>
          <w:shd w:val="clear" w:color="auto" w:fill="auto"/>
          <w:lang w:val="en-US" w:eastAsia="zh-CN"/>
        </w:rPr>
        <w:t>叁</w:t>
      </w:r>
      <w:r>
        <w:rPr>
          <w:rFonts w:hint="eastAsia"/>
          <w:color w:val="auto"/>
          <w:highlight w:val="none"/>
          <w:shd w:val="clear" w:color="auto" w:fill="auto"/>
        </w:rPr>
        <w:t>年，报修响应时间2小时，到场修复时间12小时（不可抗拒力量下除外）。特殊情况在24小时内无法恢复的，成交供应商应予以更换新产品、提供代用产品或提供使产品可正常运转的措施。（提供承诺函）</w:t>
      </w:r>
    </w:p>
    <w:p w14:paraId="085B4F54">
      <w:pPr>
        <w:pStyle w:val="20"/>
        <w:rPr>
          <w:color w:val="auto"/>
          <w:highlight w:val="none"/>
          <w:shd w:val="clear" w:color="auto" w:fill="auto"/>
        </w:rPr>
      </w:pPr>
      <w:r>
        <w:rPr>
          <w:rFonts w:hint="eastAsia"/>
          <w:color w:val="auto"/>
          <w:highlight w:val="none"/>
          <w:shd w:val="clear" w:color="auto" w:fill="auto"/>
        </w:rPr>
        <w:t>7.2供应商应保证提供不低于制造商对相应设备的公开售后服务水平的售后服务承诺书及服务条款，提供制造商对相应设备的公开售后服务条款复印件及供应商对本项目的售后服务承诺书及服务条款。成交供应商在保修期内应确保开机率为95%以上，如达不到此要求，即要求乙方停机天数的4倍天数延长保修期。</w:t>
      </w:r>
    </w:p>
    <w:p w14:paraId="7123D6F9">
      <w:pPr>
        <w:pStyle w:val="20"/>
        <w:rPr>
          <w:color w:val="auto"/>
          <w:highlight w:val="none"/>
          <w:shd w:val="clear" w:color="auto" w:fill="auto"/>
        </w:rPr>
      </w:pPr>
      <w:r>
        <w:rPr>
          <w:rFonts w:hint="eastAsia"/>
          <w:color w:val="auto"/>
          <w:highlight w:val="none"/>
          <w:shd w:val="clear" w:color="auto" w:fill="auto"/>
        </w:rPr>
        <w:t>7.3成交供应商应向采购人提供完善周到的本地化技术服务，提供售后服务质量保障方案，建立完善的售后服务管理体系及拥有专业的维护队伍，保证货物的正常使用措施，保修期内质量保证提供免费技术支持、保修，不得另行收取其他费用，且保修服务方式均为成交供应商上门保修，即由成交供应商到采购人使用现场维修，产生的一切费用均由成交供应商承担；</w:t>
      </w:r>
    </w:p>
    <w:p w14:paraId="6327B9E6">
      <w:pPr>
        <w:pStyle w:val="20"/>
        <w:rPr>
          <w:color w:val="auto"/>
          <w:highlight w:val="none"/>
          <w:shd w:val="clear" w:color="auto" w:fill="auto"/>
        </w:rPr>
      </w:pPr>
      <w:r>
        <w:rPr>
          <w:rFonts w:hint="eastAsia"/>
          <w:color w:val="auto"/>
          <w:highlight w:val="none"/>
          <w:shd w:val="clear" w:color="auto" w:fill="auto"/>
        </w:rPr>
        <w:t>7.4保修期满后，成交供应商应提供终身维修，采购人只需付零配件的费用，能长期提供良好的技术支持及零部件的优惠供应；</w:t>
      </w:r>
    </w:p>
    <w:p w14:paraId="1F0ED7A7">
      <w:pPr>
        <w:pStyle w:val="20"/>
        <w:rPr>
          <w:color w:val="auto"/>
          <w:highlight w:val="none"/>
          <w:shd w:val="clear" w:color="auto" w:fill="auto"/>
        </w:rPr>
      </w:pPr>
      <w:r>
        <w:rPr>
          <w:rFonts w:hint="eastAsia"/>
          <w:color w:val="auto"/>
          <w:highlight w:val="none"/>
          <w:shd w:val="clear" w:color="auto" w:fill="auto"/>
        </w:rPr>
        <w:t>7.5成交供应商应提供终身维修及定期巡访等。</w:t>
      </w:r>
    </w:p>
    <w:p w14:paraId="0131EF88">
      <w:pPr>
        <w:pStyle w:val="20"/>
        <w:rPr>
          <w:color w:val="auto"/>
          <w:highlight w:val="none"/>
          <w:shd w:val="clear" w:color="auto" w:fill="auto"/>
        </w:rPr>
      </w:pPr>
      <w:r>
        <w:rPr>
          <w:rFonts w:hint="eastAsia"/>
          <w:color w:val="auto"/>
          <w:highlight w:val="none"/>
          <w:shd w:val="clear" w:color="auto" w:fill="auto"/>
        </w:rPr>
        <w:t>8.培训要求</w:t>
      </w:r>
    </w:p>
    <w:p w14:paraId="449D2348">
      <w:pPr>
        <w:pStyle w:val="20"/>
        <w:rPr>
          <w:color w:val="auto"/>
          <w:highlight w:val="none"/>
          <w:shd w:val="clear" w:color="auto" w:fill="auto"/>
        </w:rPr>
      </w:pPr>
      <w:r>
        <w:rPr>
          <w:rFonts w:hint="eastAsia"/>
          <w:color w:val="auto"/>
          <w:highlight w:val="none"/>
          <w:shd w:val="clear" w:color="auto" w:fill="auto"/>
        </w:rPr>
        <w:t>8.1成交供应商提供现场技术培训，保证使用人员正确操作设备的各种功能，维修人员能进行常规维护、检修与保养。</w:t>
      </w:r>
    </w:p>
    <w:p w14:paraId="7452DE56">
      <w:pPr>
        <w:pStyle w:val="20"/>
        <w:rPr>
          <w:b/>
          <w:bCs/>
          <w:color w:val="auto"/>
          <w:highlight w:val="none"/>
          <w:shd w:val="clear" w:color="auto" w:fill="auto"/>
        </w:rPr>
      </w:pPr>
      <w:r>
        <w:rPr>
          <w:rFonts w:hint="eastAsia"/>
          <w:color w:val="auto"/>
          <w:highlight w:val="none"/>
          <w:shd w:val="clear" w:color="auto" w:fill="auto"/>
        </w:rPr>
        <w:t>8.2供应商应提供现场人员的培训，包括但不限于操作培训、保养培训和维修培训，并提供书面承诺和培训方案；培训使用单位操作人员直到熟悉为止（所有培训不再另行收取费用）。</w:t>
      </w:r>
    </w:p>
    <w:p w14:paraId="51093106">
      <w:pPr>
        <w:pStyle w:val="20"/>
        <w:numPr>
          <w:ilvl w:val="0"/>
          <w:numId w:val="5"/>
        </w:numPr>
        <w:rPr>
          <w:color w:val="auto"/>
          <w:highlight w:val="none"/>
          <w:shd w:val="clear" w:color="auto" w:fill="auto"/>
        </w:rPr>
      </w:pPr>
      <w:r>
        <w:rPr>
          <w:rFonts w:hint="eastAsia"/>
          <w:color w:val="auto"/>
          <w:highlight w:val="none"/>
          <w:shd w:val="clear" w:color="auto" w:fill="auto"/>
        </w:rPr>
        <w:t>廉洁条款</w:t>
      </w:r>
    </w:p>
    <w:p w14:paraId="11D45B5B">
      <w:pPr>
        <w:pStyle w:val="20"/>
        <w:rPr>
          <w:color w:val="auto"/>
          <w:highlight w:val="none"/>
          <w:shd w:val="clear" w:color="auto" w:fill="auto"/>
        </w:rPr>
      </w:pPr>
      <w:r>
        <w:rPr>
          <w:rFonts w:hint="eastAsia"/>
          <w:color w:val="auto"/>
          <w:highlight w:val="none"/>
          <w:shd w:val="clear" w:color="auto" w:fill="auto"/>
        </w:rPr>
        <w:t>供应商需在比价文件中声明并递交《廉洁告知书》（详见以下附件1）并遵守以下条款：</w:t>
      </w:r>
    </w:p>
    <w:p w14:paraId="13ED8E5A">
      <w:pPr>
        <w:pStyle w:val="20"/>
        <w:rPr>
          <w:color w:val="auto"/>
          <w:highlight w:val="none"/>
          <w:shd w:val="clear" w:color="auto" w:fill="auto"/>
        </w:rPr>
      </w:pPr>
      <w:r>
        <w:rPr>
          <w:rFonts w:hint="eastAsia"/>
          <w:color w:val="auto"/>
          <w:highlight w:val="none"/>
          <w:shd w:val="clear" w:color="auto" w:fill="auto"/>
        </w:rPr>
        <w:t>1.供应商承诺严格按照《廉洁告知书》相关内容履行，不向采购人及相关人员直接或间接进行商业贿赂。</w:t>
      </w:r>
    </w:p>
    <w:p w14:paraId="1DB9F4B0">
      <w:pPr>
        <w:pStyle w:val="20"/>
        <w:rPr>
          <w:color w:val="auto"/>
          <w:highlight w:val="none"/>
          <w:shd w:val="clear" w:color="auto" w:fill="auto"/>
        </w:rPr>
      </w:pPr>
      <w:r>
        <w:rPr>
          <w:rFonts w:hint="eastAsia"/>
          <w:color w:val="auto"/>
          <w:highlight w:val="none"/>
          <w:shd w:val="clear" w:color="auto" w:fill="auto"/>
        </w:rPr>
        <w:t>2.供应商发现买方工作人员有任何索贿行动的，应向有关行业主管部门或纪检监察部门反映情况。</w:t>
      </w:r>
    </w:p>
    <w:p w14:paraId="0C10EACF">
      <w:pPr>
        <w:pStyle w:val="20"/>
        <w:rPr>
          <w:color w:val="auto"/>
          <w:highlight w:val="none"/>
          <w:shd w:val="clear" w:color="auto" w:fill="auto"/>
        </w:rPr>
      </w:pPr>
      <w:r>
        <w:rPr>
          <w:rFonts w:hint="eastAsia"/>
          <w:color w:val="auto"/>
          <w:highlight w:val="none"/>
          <w:shd w:val="clear" w:color="auto" w:fill="auto"/>
        </w:rPr>
        <w:t>3.供应商违反《廉洁告知书》相关内容的，严格按《廉洁告知书》规定承担相关责任。</w:t>
      </w:r>
    </w:p>
    <w:p w14:paraId="4B3F1C16">
      <w:pPr>
        <w:pStyle w:val="20"/>
        <w:rPr>
          <w:color w:val="auto"/>
          <w:highlight w:val="none"/>
          <w:shd w:val="clear" w:color="auto" w:fill="auto"/>
        </w:rPr>
      </w:pPr>
      <w:r>
        <w:rPr>
          <w:rFonts w:hint="eastAsia"/>
          <w:color w:val="auto"/>
          <w:highlight w:val="none"/>
          <w:shd w:val="clear" w:color="auto" w:fill="auto"/>
        </w:rPr>
        <w:t>4.如供应商被列入商业贿赂不良记录，则严格按照《国家卫生计生委关于建立医药购销领域商业贿赂不良记录的规定》（国卫法制发〔2013〕50号）相关规定处理。</w:t>
      </w:r>
    </w:p>
    <w:p w14:paraId="5DF290AC">
      <w:pPr>
        <w:pStyle w:val="20"/>
        <w:rPr>
          <w:color w:val="auto"/>
          <w:highlight w:val="none"/>
          <w:shd w:val="clear" w:color="auto" w:fill="auto"/>
        </w:rPr>
      </w:pPr>
      <w:r>
        <w:rPr>
          <w:rFonts w:hint="eastAsia"/>
          <w:color w:val="auto"/>
          <w:highlight w:val="none"/>
          <w:shd w:val="clear" w:color="auto" w:fill="auto"/>
        </w:rPr>
        <w:t>5.《廉洁告知书》作为本项目合同的组成部分，与合同具有同等法律效力。</w:t>
      </w:r>
    </w:p>
    <w:p w14:paraId="04A0C096">
      <w:pPr>
        <w:pStyle w:val="20"/>
        <w:rPr>
          <w:color w:val="auto"/>
          <w:highlight w:val="none"/>
          <w:shd w:val="clear" w:color="auto" w:fill="auto"/>
        </w:rPr>
      </w:pPr>
      <w:r>
        <w:rPr>
          <w:rFonts w:hint="eastAsia"/>
          <w:color w:val="auto"/>
          <w:highlight w:val="none"/>
          <w:shd w:val="clear" w:color="auto" w:fill="auto"/>
        </w:rPr>
        <w:t>四、密封文件内容</w:t>
      </w:r>
    </w:p>
    <w:p w14:paraId="024DD5E6">
      <w:pPr>
        <w:pStyle w:val="19"/>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一</w:t>
      </w:r>
      <w:r>
        <w:rPr>
          <w:rFonts w:hint="eastAsia" w:ascii="仿宋" w:hAnsi="仿宋" w:eastAsia="仿宋" w:cs="仿宋"/>
          <w:color w:val="auto"/>
          <w:sz w:val="24"/>
          <w:szCs w:val="24"/>
          <w:highlight w:val="none"/>
          <w:shd w:val="clear" w:color="auto" w:fill="auto"/>
          <w:lang w:val="zh-TW"/>
        </w:rPr>
        <w:t>）</w:t>
      </w:r>
      <w:r>
        <w:rPr>
          <w:rFonts w:ascii="仿宋" w:hAnsi="仿宋" w:eastAsia="仿宋" w:cs="仿宋"/>
          <w:color w:val="auto"/>
          <w:sz w:val="24"/>
          <w:szCs w:val="24"/>
          <w:highlight w:val="none"/>
          <w:shd w:val="clear" w:color="auto" w:fill="auto"/>
          <w:lang w:val="zh-TW" w:eastAsia="zh-TW"/>
        </w:rPr>
        <w:t>《复旦大学附属中山医院厦门医院物资采购报价单》</w:t>
      </w:r>
      <w:r>
        <w:rPr>
          <w:rFonts w:hint="eastAsia" w:ascii="仿宋" w:hAnsi="仿宋" w:eastAsia="仿宋" w:cs="仿宋"/>
          <w:color w:val="auto"/>
          <w:sz w:val="24"/>
          <w:szCs w:val="24"/>
          <w:highlight w:val="none"/>
          <w:shd w:val="clear" w:color="auto" w:fill="auto"/>
          <w:lang w:val="zh-TW"/>
        </w:rPr>
        <w:t>、</w:t>
      </w:r>
      <w:r>
        <w:rPr>
          <w:rFonts w:ascii="仿宋" w:hAnsi="仿宋" w:eastAsia="仿宋" w:cs="仿宋"/>
          <w:color w:val="auto"/>
          <w:sz w:val="24"/>
          <w:szCs w:val="24"/>
          <w:highlight w:val="none"/>
          <w:shd w:val="clear" w:color="auto" w:fill="auto"/>
          <w:lang w:val="zh-TW" w:eastAsia="zh-TW"/>
        </w:rPr>
        <w:t>设备技术参数</w:t>
      </w:r>
      <w:r>
        <w:rPr>
          <w:rFonts w:hint="eastAsia" w:ascii="仿宋" w:hAnsi="仿宋" w:eastAsia="仿宋" w:cs="仿宋"/>
          <w:color w:val="auto"/>
          <w:sz w:val="24"/>
          <w:szCs w:val="24"/>
          <w:highlight w:val="none"/>
          <w:shd w:val="clear" w:color="auto" w:fill="auto"/>
        </w:rPr>
        <w:t>响应情况</w:t>
      </w:r>
      <w:r>
        <w:rPr>
          <w:rFonts w:ascii="仿宋" w:hAnsi="仿宋" w:eastAsia="仿宋" w:cs="仿宋"/>
          <w:color w:val="auto"/>
          <w:sz w:val="24"/>
          <w:szCs w:val="24"/>
          <w:highlight w:val="none"/>
          <w:shd w:val="clear" w:color="auto" w:fill="auto"/>
          <w:lang w:val="zh-TW" w:eastAsia="zh-TW"/>
        </w:rPr>
        <w:t>及配置清单；</w:t>
      </w:r>
    </w:p>
    <w:p w14:paraId="2886E5EB">
      <w:pPr>
        <w:pStyle w:val="19"/>
        <w:framePr w:wrap="auto" w:vAnchor="margin" w:hAnchor="text" w:yAlign="inline"/>
        <w:spacing w:line="360" w:lineRule="auto"/>
        <w:rPr>
          <w:rFonts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二</w:t>
      </w: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资格要求所需材料</w:t>
      </w:r>
      <w:r>
        <w:rPr>
          <w:rFonts w:ascii="仿宋" w:hAnsi="仿宋" w:eastAsia="仿宋" w:cs="仿宋"/>
          <w:color w:val="auto"/>
          <w:sz w:val="24"/>
          <w:szCs w:val="24"/>
          <w:highlight w:val="none"/>
          <w:shd w:val="clear" w:color="auto" w:fill="auto"/>
          <w:lang w:val="zh-TW" w:eastAsia="zh-TW"/>
        </w:rPr>
        <w:t>；</w:t>
      </w:r>
    </w:p>
    <w:p w14:paraId="51A49D38">
      <w:pPr>
        <w:pStyle w:val="19"/>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三</w:t>
      </w:r>
      <w:r>
        <w:rPr>
          <w:rFonts w:hint="eastAsia" w:ascii="仿宋" w:hAnsi="仿宋" w:eastAsia="仿宋" w:cs="仿宋"/>
          <w:color w:val="auto"/>
          <w:sz w:val="24"/>
          <w:szCs w:val="24"/>
          <w:highlight w:val="none"/>
          <w:shd w:val="clear" w:color="auto" w:fill="auto"/>
          <w:lang w:val="zh-TW"/>
        </w:rPr>
        <w:t>）</w:t>
      </w:r>
      <w:r>
        <w:rPr>
          <w:rFonts w:hint="eastAsia" w:ascii="仿宋" w:hAnsi="仿宋" w:eastAsia="仿宋" w:cs="仿宋"/>
          <w:color w:val="auto"/>
          <w:sz w:val="24"/>
          <w:szCs w:val="24"/>
          <w:highlight w:val="none"/>
          <w:shd w:val="clear" w:color="auto" w:fill="auto"/>
        </w:rPr>
        <w:t>商务条件所需材料；</w:t>
      </w:r>
    </w:p>
    <w:p w14:paraId="3B6ADE9A">
      <w:pPr>
        <w:pStyle w:val="19"/>
        <w:framePr w:wrap="auto" w:vAnchor="margin" w:hAnchor="text" w:yAlign="inline"/>
        <w:spacing w:line="360" w:lineRule="auto"/>
        <w:rPr>
          <w:rFonts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（四）《廉洁告知书》。</w:t>
      </w:r>
    </w:p>
    <w:p w14:paraId="005D6880">
      <w:pPr>
        <w:pStyle w:val="19"/>
        <w:framePr w:wrap="auto" w:vAnchor="margin" w:hAnchor="text" w:yAlign="inline"/>
        <w:spacing w:line="360" w:lineRule="auto"/>
        <w:rPr>
          <w:color w:val="auto"/>
          <w:highlight w:val="none"/>
          <w:shd w:val="clear" w:color="auto" w:fill="auto"/>
        </w:rPr>
      </w:pPr>
      <w:r>
        <w:rPr>
          <w:rFonts w:ascii="仿宋" w:hAnsi="仿宋" w:eastAsia="仿宋" w:cs="仿宋"/>
          <w:b/>
          <w:bCs/>
          <w:color w:val="auto"/>
          <w:sz w:val="24"/>
          <w:szCs w:val="24"/>
          <w:highlight w:val="none"/>
          <w:shd w:val="clear" w:color="auto" w:fill="auto"/>
          <w:lang w:val="zh-TW" w:eastAsia="zh-TW"/>
        </w:rPr>
        <w:t>以上文件均需加盖公章，如无加盖，以无效报价处理。</w:t>
      </w:r>
    </w:p>
    <w:p w14:paraId="765F4C63">
      <w:pPr>
        <w:pStyle w:val="8"/>
        <w:framePr w:wrap="around"/>
        <w:spacing w:after="0" w:line="360" w:lineRule="auto"/>
        <w:ind w:left="0" w:leftChars="0" w:firstLine="480" w:firstLineChars="20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附件1：</w:t>
      </w:r>
    </w:p>
    <w:p w14:paraId="5BE714D9">
      <w:pPr>
        <w:framePr w:wrap="around"/>
        <w:jc w:val="center"/>
        <w:rPr>
          <w:rFonts w:ascii="仿宋" w:hAnsi="仿宋" w:eastAsia="仿宋" w:cs="仿宋"/>
          <w:color w:val="auto"/>
          <w:highlight w:val="none"/>
          <w:shd w:val="clear" w:color="auto" w:fill="auto"/>
          <w:lang w:eastAsia="zh-CN"/>
        </w:rPr>
      </w:pPr>
      <w:r>
        <w:rPr>
          <w:rFonts w:hint="eastAsia" w:ascii="仿宋" w:hAnsi="仿宋" w:eastAsia="仿宋" w:cs="仿宋"/>
          <w:b/>
          <w:bCs/>
          <w:color w:val="auto"/>
          <w:highlight w:val="none"/>
          <w:shd w:val="clear" w:color="auto" w:fill="auto"/>
          <w:lang w:eastAsia="zh-CN"/>
        </w:rPr>
        <w:t>廉洁告知书</w:t>
      </w:r>
    </w:p>
    <w:p w14:paraId="28F60F0F">
      <w:pPr>
        <w:framePr w:wrap="around"/>
        <w:rPr>
          <w:rFonts w:ascii="仿宋" w:hAnsi="仿宋" w:eastAsia="仿宋" w:cs="仿宋"/>
          <w:color w:val="auto"/>
          <w:highlight w:val="none"/>
          <w:shd w:val="clear" w:color="auto" w:fill="auto"/>
          <w:lang w:eastAsia="zh-CN"/>
        </w:rPr>
      </w:pPr>
    </w:p>
    <w:p w14:paraId="4F4E9654">
      <w:pPr>
        <w:framePr w:wrap="around"/>
        <w:rPr>
          <w:rFonts w:ascii="仿宋" w:hAnsi="仿宋" w:eastAsia="仿宋" w:cs="仿宋"/>
          <w:color w:val="auto"/>
          <w:highlight w:val="none"/>
          <w:shd w:val="clear" w:color="auto" w:fill="auto"/>
          <w:lang w:eastAsia="zh-CN"/>
        </w:rPr>
      </w:pPr>
      <w:r>
        <w:rPr>
          <w:rFonts w:hint="eastAsia" w:ascii="仿宋" w:hAnsi="仿宋" w:eastAsia="仿宋" w:cs="仿宋"/>
          <w:i/>
          <w:iCs/>
          <w:color w:val="auto"/>
          <w:highlight w:val="none"/>
          <w:u w:val="single"/>
          <w:shd w:val="clear" w:color="auto" w:fill="auto"/>
          <w:lang w:eastAsia="zh-CN"/>
        </w:rPr>
        <w:t xml:space="preserve"> (填写供应商名称)</w:t>
      </w:r>
      <w:r>
        <w:rPr>
          <w:rFonts w:hint="eastAsia" w:ascii="仿宋" w:hAnsi="仿宋" w:eastAsia="仿宋" w:cs="仿宋"/>
          <w:color w:val="auto"/>
          <w:highlight w:val="none"/>
          <w:u w:val="single"/>
          <w:shd w:val="clear" w:color="auto" w:fill="auto"/>
          <w:lang w:eastAsia="zh-CN"/>
        </w:rPr>
        <w:t xml:space="preserve"> </w:t>
      </w:r>
      <w:r>
        <w:rPr>
          <w:rFonts w:hint="eastAsia" w:ascii="仿宋" w:hAnsi="仿宋" w:eastAsia="仿宋" w:cs="仿宋"/>
          <w:color w:val="auto"/>
          <w:highlight w:val="none"/>
          <w:shd w:val="clear" w:color="auto" w:fill="auto"/>
          <w:lang w:eastAsia="zh-CN"/>
        </w:rPr>
        <w:t>：</w:t>
      </w:r>
    </w:p>
    <w:p w14:paraId="3396DA7E">
      <w:pPr>
        <w:framePr w:wrap="around"/>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为进一步完善厦门市属公立医疗单位采购监督制约机制，防止发生</w:t>
      </w:r>
      <w:r>
        <w:rPr>
          <w:rFonts w:hint="eastAsia" w:ascii="仿宋" w:hAnsi="仿宋" w:eastAsia="仿宋" w:cs="仿宋"/>
          <w:color w:val="auto"/>
          <w:spacing w:val="5"/>
          <w:highlight w:val="none"/>
          <w:shd w:val="clear" w:color="auto" w:fill="auto"/>
          <w:lang w:eastAsia="zh-CN"/>
        </w:rPr>
        <w:t>医疗领域商业贿赂</w:t>
      </w:r>
      <w:r>
        <w:rPr>
          <w:rFonts w:hint="eastAsia" w:ascii="仿宋" w:hAnsi="仿宋" w:eastAsia="仿宋" w:cs="仿宋"/>
          <w:color w:val="auto"/>
          <w:highlight w:val="none"/>
          <w:shd w:val="clear" w:color="auto" w:fill="auto"/>
          <w:lang w:eastAsia="zh-CN"/>
        </w:rPr>
        <w:t>行为，贵司在医疗机构采购活动中要廉洁自律、诚实守信，遵守如下规定：</w:t>
      </w:r>
    </w:p>
    <w:p w14:paraId="3B1411B6">
      <w:pPr>
        <w:framePr w:wrap="around"/>
        <w:numPr>
          <w:ilvl w:val="0"/>
          <w:numId w:val="6"/>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严格遵守国家有关工程建设、招标投标、物资采购、服务采购等相关法律法规、政策以及廉政建设规定。</w:t>
      </w:r>
    </w:p>
    <w:p w14:paraId="120A6A29">
      <w:pPr>
        <w:framePr w:wrap="around"/>
        <w:numPr>
          <w:ilvl w:val="0"/>
          <w:numId w:val="6"/>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坚持公平、公正、公开和诚实守信的原则，不得为获取不正当利益损害国家、集体、第三人和对方利益。</w:t>
      </w:r>
    </w:p>
    <w:p w14:paraId="5E407D83">
      <w:pPr>
        <w:framePr w:wrap="around"/>
        <w:numPr>
          <w:ilvl w:val="0"/>
          <w:numId w:val="6"/>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不得有商业贿赂行为，如赠予甲方人员</w:t>
      </w:r>
      <w:r>
        <w:rPr>
          <w:rFonts w:hint="eastAsia" w:ascii="仿宋" w:hAnsi="仿宋" w:eastAsia="仿宋" w:cs="仿宋"/>
          <w:color w:val="auto"/>
          <w:spacing w:val="5"/>
          <w:highlight w:val="none"/>
          <w:shd w:val="clear" w:color="auto" w:fill="auto"/>
          <w:lang w:eastAsia="zh-CN"/>
        </w:rPr>
        <w:t>现金、物品、有价证券，或以支付凭证、理财等方式变相支付本应由甲方人员承担的款项。</w:t>
      </w:r>
      <w:r>
        <w:rPr>
          <w:rFonts w:hint="eastAsia" w:ascii="仿宋" w:hAnsi="仿宋" w:eastAsia="仿宋" w:cs="仿宋"/>
          <w:color w:val="auto"/>
          <w:highlight w:val="none"/>
          <w:shd w:val="clear" w:color="auto" w:fill="auto"/>
          <w:lang w:eastAsia="zh-CN"/>
        </w:rPr>
        <w:t xml:space="preserve"> </w:t>
      </w:r>
    </w:p>
    <w:p w14:paraId="291D7D08">
      <w:pPr>
        <w:framePr w:wrap="around"/>
        <w:numPr>
          <w:ilvl w:val="0"/>
          <w:numId w:val="6"/>
        </w:numPr>
        <w:snapToGrid w:val="0"/>
        <w:spacing w:line="288" w:lineRule="auto"/>
        <w:ind w:firstLine="640"/>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不得以任何理由邀请甲方人员进入营业性娱乐场所或者参加影响业务工作公平公正开展的其他活动。</w:t>
      </w:r>
    </w:p>
    <w:p w14:paraId="7707F2CC">
      <w:pPr>
        <w:pStyle w:val="2"/>
        <w:framePr w:wrap="around"/>
        <w:numPr>
          <w:ilvl w:val="0"/>
          <w:numId w:val="6"/>
        </w:numPr>
        <w:adjustRightInd w:val="0"/>
        <w:snapToGrid w:val="0"/>
        <w:spacing w:line="288" w:lineRule="auto"/>
        <w:ind w:firstLine="640"/>
        <w:textAlignment w:val="baseline"/>
        <w:rPr>
          <w:rFonts w:ascii="仿宋" w:hAnsi="仿宋" w:eastAsia="仿宋" w:cs="仿宋"/>
          <w:color w:val="auto"/>
          <w:szCs w:val="24"/>
          <w:highlight w:val="none"/>
          <w:shd w:val="clear" w:color="auto" w:fill="auto"/>
          <w:lang w:eastAsia="zh-CN"/>
        </w:rPr>
      </w:pPr>
      <w:r>
        <w:rPr>
          <w:rFonts w:hint="eastAsia" w:ascii="仿宋" w:hAnsi="仿宋" w:eastAsia="仿宋" w:cs="仿宋"/>
          <w:color w:val="auto"/>
          <w:szCs w:val="24"/>
          <w:highlight w:val="none"/>
          <w:shd w:val="clear" w:color="auto" w:fill="auto"/>
          <w:lang w:eastAsia="zh-CN"/>
        </w:rPr>
        <w:t>不得到甲方医疗场所、工作人员家中推销产品并提供任何好处费，不得采用不正当手段进行临床促销活动。</w:t>
      </w:r>
    </w:p>
    <w:p w14:paraId="119CCC1D">
      <w:pPr>
        <w:pStyle w:val="2"/>
        <w:framePr w:wrap="around"/>
        <w:numPr>
          <w:ilvl w:val="0"/>
          <w:numId w:val="6"/>
        </w:numPr>
        <w:adjustRightInd w:val="0"/>
        <w:snapToGrid w:val="0"/>
        <w:spacing w:line="288" w:lineRule="auto"/>
        <w:ind w:firstLine="640"/>
        <w:textAlignment w:val="baseline"/>
        <w:rPr>
          <w:rFonts w:ascii="仿宋" w:hAnsi="仿宋" w:eastAsia="仿宋" w:cs="仿宋"/>
          <w:color w:val="auto"/>
          <w:szCs w:val="24"/>
          <w:highlight w:val="none"/>
          <w:shd w:val="clear" w:color="auto" w:fill="auto"/>
          <w:lang w:eastAsia="zh-CN"/>
        </w:rPr>
      </w:pPr>
      <w:r>
        <w:rPr>
          <w:rFonts w:hint="eastAsia" w:ascii="仿宋" w:hAnsi="仿宋" w:eastAsia="仿宋" w:cs="仿宋"/>
          <w:color w:val="auto"/>
          <w:szCs w:val="24"/>
          <w:highlight w:val="none"/>
          <w:shd w:val="clear" w:color="auto" w:fill="auto"/>
          <w:lang w:eastAsia="zh-CN"/>
        </w:rPr>
        <w:t>不得以回扣、宴请等方式影响甲方人员采购或使用医药产品的选择权，不得在学术活动中提供旅游、超标准支付食宿费用。</w:t>
      </w:r>
    </w:p>
    <w:p w14:paraId="3592D8CA">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如违反上述规定，甲方有权选择立即中止、终止或解除与贵司正在进行的任何业务关系，贵司应承担甲方因此产生的经济损失、不良后果及相应的违约责任。</w:t>
      </w:r>
    </w:p>
    <w:p w14:paraId="1E3087E9">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 xml:space="preserve">                             盖  章：</w:t>
      </w:r>
    </w:p>
    <w:p w14:paraId="1719918B">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 xml:space="preserve">                             日  期：</w:t>
      </w:r>
    </w:p>
    <w:p w14:paraId="54C3BE63">
      <w:pPr>
        <w:framePr w:wrap="around"/>
        <w:snapToGrid w:val="0"/>
        <w:spacing w:line="288" w:lineRule="auto"/>
        <w:rPr>
          <w:rFonts w:ascii="仿宋" w:hAnsi="仿宋" w:eastAsia="仿宋" w:cs="仿宋"/>
          <w:color w:val="auto"/>
          <w:highlight w:val="none"/>
          <w:u w:val="dotDash"/>
          <w:shd w:val="clear" w:color="auto" w:fill="auto"/>
          <w:lang w:eastAsia="zh-CN"/>
        </w:rPr>
      </w:pPr>
      <w:r>
        <w:rPr>
          <w:color w:val="auto"/>
          <w:highlight w:val="none"/>
          <w:shd w:val="clear" w:color="auto" w:fill="auto"/>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96520</wp:posOffset>
                </wp:positionV>
                <wp:extent cx="5219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25855" y="6643370"/>
                          <a:ext cx="521970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5pt;margin-top:7.6pt;height:0.75pt;width:411pt;z-index:251659264;mso-width-relative:page;mso-height-relative:page;" filled="f" stroked="t" coordsize="21600,21600" o:gfxdata="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n&#10;nNvUAAAACAEAAA8AAAAAAAAAAQAgAAAAIgAAAGRycy9kb3ducmV2LnhtbFBLAQIUABQAAAAIAIdO&#10;4kDktvkr7gEAALIDAAAOAAAAAAAAAAEAIAAAACMBAABkcnMvZTJvRG9jLnhtbFBLBQYAAAAABgAG&#10;AFkBAACDBQAAAAA=&#10;">
                <v:fill on="f" focussize="0,0"/>
                <v:stroke color="#000000 [3213]" joinstyle="round" dashstyle="dash"/>
                <v:imagedata o:title=""/>
                <o:lock v:ext="edit" aspectratio="f"/>
              </v:line>
            </w:pict>
          </mc:Fallback>
        </mc:AlternateContent>
      </w:r>
      <w:r>
        <w:rPr>
          <w:rFonts w:hint="eastAsia" w:ascii="仿宋" w:hAnsi="仿宋" w:eastAsia="仿宋" w:cs="仿宋"/>
          <w:color w:val="auto"/>
          <w:highlight w:val="none"/>
          <w:u w:val="dotDash"/>
          <w:shd w:val="clear" w:color="auto" w:fill="auto"/>
          <w:lang w:eastAsia="zh-CN"/>
        </w:rPr>
        <w:t xml:space="preserve">                                                                           </w:t>
      </w:r>
    </w:p>
    <w:p w14:paraId="3C87EBC1">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p>
    <w:p w14:paraId="46E1D860">
      <w:pPr>
        <w:framePr w:wrap="around"/>
        <w:snapToGrid w:val="0"/>
        <w:spacing w:line="288" w:lineRule="auto"/>
        <w:ind w:firstLine="484" w:firstLineChars="202"/>
        <w:rPr>
          <w:rFonts w:ascii="仿宋" w:hAnsi="仿宋" w:eastAsia="仿宋" w:cs="仿宋"/>
          <w:color w:val="auto"/>
          <w:highlight w:val="none"/>
          <w:u w:val="single"/>
          <w:shd w:val="clear" w:color="auto" w:fill="auto"/>
          <w:lang w:eastAsia="zh-CN"/>
        </w:rPr>
      </w:pPr>
      <w:r>
        <w:rPr>
          <w:rFonts w:hint="eastAsia" w:ascii="仿宋" w:hAnsi="仿宋" w:eastAsia="仿宋" w:cs="仿宋"/>
          <w:color w:val="auto"/>
          <w:highlight w:val="none"/>
          <w:u w:val="single"/>
          <w:shd w:val="clear" w:color="auto" w:fill="auto"/>
          <w:lang w:eastAsia="zh-CN"/>
        </w:rPr>
        <w:t>复旦大学附属中山医院厦门医院廉洁告知书我已收到，内容我已知悉并理解，我方承诺将严格按照《廉洁告知书》相关内容履行。</w:t>
      </w:r>
    </w:p>
    <w:p w14:paraId="63DFE86D">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p>
    <w:p w14:paraId="3BD33A11">
      <w:pPr>
        <w:framePr w:wrap="around"/>
        <w:snapToGrid w:val="0"/>
        <w:spacing w:line="288" w:lineRule="auto"/>
        <w:ind w:firstLine="484" w:firstLineChars="202"/>
        <w:rPr>
          <w:rFonts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 xml:space="preserve">                            签  字：(供应商授权代表签字)</w:t>
      </w:r>
    </w:p>
    <w:p w14:paraId="14F9F5E9">
      <w:pPr>
        <w:framePr w:wrap="around"/>
        <w:snapToGrid w:val="0"/>
        <w:spacing w:line="288" w:lineRule="auto"/>
        <w:ind w:firstLine="3840" w:firstLineChars="1600"/>
        <w:rPr>
          <w:rFonts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盖  章：(公章)</w:t>
      </w:r>
    </w:p>
    <w:p w14:paraId="44DB4432">
      <w:pPr>
        <w:framePr w:wrap="around"/>
        <w:snapToGrid w:val="0"/>
        <w:spacing w:line="288" w:lineRule="auto"/>
        <w:ind w:firstLine="3840" w:firstLineChars="1600"/>
        <w:rPr>
          <w:rFonts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日  期：</w:t>
      </w:r>
    </w:p>
    <w:p w14:paraId="61366E0C">
      <w:pPr>
        <w:pStyle w:val="19"/>
        <w:framePr w:wrap="auto" w:vAnchor="margin" w:hAnchor="text" w:yAlign="inline"/>
        <w:spacing w:line="360" w:lineRule="auto"/>
        <w:rPr>
          <w:color w:val="auto"/>
          <w:highlight w:val="none"/>
          <w:shd w:val="clear" w:color="auto" w:fill="auto"/>
        </w:rPr>
      </w:pPr>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2157">
    <w:pPr>
      <w:pStyle w:val="9"/>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001">
    <w:pPr>
      <w:pStyle w:val="9"/>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81CD">
    <w:pPr>
      <w:pStyle w:val="1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8C02">
    <w:pPr>
      <w:pStyle w:val="1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A6BC1B34"/>
    <w:multiLevelType w:val="singleLevel"/>
    <w:tmpl w:val="A6BC1B34"/>
    <w:lvl w:ilvl="0" w:tentative="0">
      <w:start w:val="13"/>
      <w:numFmt w:val="decimal"/>
      <w:suff w:val="space"/>
      <w:lvlText w:val="%1."/>
      <w:lvlJc w:val="left"/>
    </w:lvl>
  </w:abstractNum>
  <w:abstractNum w:abstractNumId="2">
    <w:nsid w:val="E683A0FD"/>
    <w:multiLevelType w:val="singleLevel"/>
    <w:tmpl w:val="E683A0FD"/>
    <w:lvl w:ilvl="0" w:tentative="0">
      <w:start w:val="9"/>
      <w:numFmt w:val="decimal"/>
      <w:suff w:val="space"/>
      <w:lvlText w:val="%1."/>
      <w:lvlJc w:val="left"/>
    </w:lvl>
  </w:abstractNum>
  <w:abstractNum w:abstractNumId="3">
    <w:nsid w:val="57D76AEE"/>
    <w:multiLevelType w:val="singleLevel"/>
    <w:tmpl w:val="57D76AEE"/>
    <w:lvl w:ilvl="0" w:tentative="0">
      <w:start w:val="2"/>
      <w:numFmt w:val="chineseCounting"/>
      <w:suff w:val="nothing"/>
      <w:lvlText w:val="（%1）"/>
      <w:lvlJc w:val="left"/>
      <w:rPr>
        <w:rFonts w:hint="eastAsia"/>
      </w:rPr>
    </w:lvl>
  </w:abstractNum>
  <w:abstractNum w:abstractNumId="4">
    <w:nsid w:val="68876505"/>
    <w:multiLevelType w:val="singleLevel"/>
    <w:tmpl w:val="68876505"/>
    <w:lvl w:ilvl="0" w:tentative="0">
      <w:start w:val="2"/>
      <w:numFmt w:val="chineseCounting"/>
      <w:suff w:val="nothing"/>
      <w:lvlText w:val="%1、"/>
      <w:lvlJc w:val="left"/>
      <w:rPr>
        <w:rFonts w:hint="eastAsia"/>
      </w:rPr>
    </w:lvl>
  </w:abstractNum>
  <w:abstractNum w:abstractNumId="5">
    <w:nsid w:val="6DB5814E"/>
    <w:multiLevelType w:val="singleLevel"/>
    <w:tmpl w:val="6DB5814E"/>
    <w:lvl w:ilvl="0" w:tentative="0">
      <w:start w:val="2"/>
      <w:numFmt w:val="decimal"/>
      <w:suff w:val="space"/>
      <w:lvlText w:val="%1."/>
      <w:lvlJc w:val="left"/>
      <w:pPr>
        <w:ind w:left="724" w:leftChars="0" w:firstLine="0" w:firstLineChars="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TRlNDdmZTIzNmQ3NjZhZTRhODcwZWU3MTcwYWIifQ=="/>
  </w:docVars>
  <w:rsids>
    <w:rsidRoot w:val="00B57A43"/>
    <w:rsid w:val="00095FE6"/>
    <w:rsid w:val="000B2630"/>
    <w:rsid w:val="000B5CB1"/>
    <w:rsid w:val="000C4D9A"/>
    <w:rsid w:val="002049E0"/>
    <w:rsid w:val="002B463E"/>
    <w:rsid w:val="002D53CF"/>
    <w:rsid w:val="00310DEF"/>
    <w:rsid w:val="00353864"/>
    <w:rsid w:val="00362529"/>
    <w:rsid w:val="003A03B6"/>
    <w:rsid w:val="0041098A"/>
    <w:rsid w:val="004D5E0B"/>
    <w:rsid w:val="004F1B93"/>
    <w:rsid w:val="00590FC7"/>
    <w:rsid w:val="006E437E"/>
    <w:rsid w:val="00710752"/>
    <w:rsid w:val="00743001"/>
    <w:rsid w:val="00783309"/>
    <w:rsid w:val="00913248"/>
    <w:rsid w:val="00965F1E"/>
    <w:rsid w:val="00A344EF"/>
    <w:rsid w:val="00AF5AEA"/>
    <w:rsid w:val="00B34994"/>
    <w:rsid w:val="00B47E24"/>
    <w:rsid w:val="00B57A43"/>
    <w:rsid w:val="00B65373"/>
    <w:rsid w:val="00C53A33"/>
    <w:rsid w:val="00C94AFD"/>
    <w:rsid w:val="00D254DC"/>
    <w:rsid w:val="00D704EB"/>
    <w:rsid w:val="00E13B6A"/>
    <w:rsid w:val="00E32C61"/>
    <w:rsid w:val="00E55C7C"/>
    <w:rsid w:val="00FB5D61"/>
    <w:rsid w:val="035717DD"/>
    <w:rsid w:val="047D5273"/>
    <w:rsid w:val="05410997"/>
    <w:rsid w:val="0B1F4BB6"/>
    <w:rsid w:val="12945152"/>
    <w:rsid w:val="164634A2"/>
    <w:rsid w:val="1C8F393E"/>
    <w:rsid w:val="1E7F6344"/>
    <w:rsid w:val="211A3B42"/>
    <w:rsid w:val="22392133"/>
    <w:rsid w:val="22D943ED"/>
    <w:rsid w:val="24F55E84"/>
    <w:rsid w:val="26404E16"/>
    <w:rsid w:val="2758093E"/>
    <w:rsid w:val="27615D27"/>
    <w:rsid w:val="2F7F046E"/>
    <w:rsid w:val="2FC06800"/>
    <w:rsid w:val="31CE2A7C"/>
    <w:rsid w:val="35921B86"/>
    <w:rsid w:val="35A90233"/>
    <w:rsid w:val="37526B11"/>
    <w:rsid w:val="3915290F"/>
    <w:rsid w:val="39420CE6"/>
    <w:rsid w:val="3AF410E4"/>
    <w:rsid w:val="3C4959E7"/>
    <w:rsid w:val="3F1D4AA6"/>
    <w:rsid w:val="427E4C69"/>
    <w:rsid w:val="42C8793C"/>
    <w:rsid w:val="43826D72"/>
    <w:rsid w:val="44BC339A"/>
    <w:rsid w:val="468E6891"/>
    <w:rsid w:val="472D449E"/>
    <w:rsid w:val="4801269B"/>
    <w:rsid w:val="4AB60164"/>
    <w:rsid w:val="4B3043BA"/>
    <w:rsid w:val="4C08741E"/>
    <w:rsid w:val="4CA756C8"/>
    <w:rsid w:val="4D4975F9"/>
    <w:rsid w:val="4DE36D63"/>
    <w:rsid w:val="4F3E6A2E"/>
    <w:rsid w:val="51C21F19"/>
    <w:rsid w:val="54A80DA8"/>
    <w:rsid w:val="564B3E56"/>
    <w:rsid w:val="585168AF"/>
    <w:rsid w:val="58D17FCB"/>
    <w:rsid w:val="59621E92"/>
    <w:rsid w:val="59F064FE"/>
    <w:rsid w:val="5A324875"/>
    <w:rsid w:val="5A436589"/>
    <w:rsid w:val="5B1D1336"/>
    <w:rsid w:val="60CE4D64"/>
    <w:rsid w:val="60E46B08"/>
    <w:rsid w:val="63071202"/>
    <w:rsid w:val="631657EC"/>
    <w:rsid w:val="637C6627"/>
    <w:rsid w:val="666E38E2"/>
    <w:rsid w:val="68D47EFA"/>
    <w:rsid w:val="6D2A5F6C"/>
    <w:rsid w:val="743E3662"/>
    <w:rsid w:val="74430E51"/>
    <w:rsid w:val="74984F9D"/>
    <w:rsid w:val="76C81E9E"/>
    <w:rsid w:val="77B35ACF"/>
    <w:rsid w:val="7981156C"/>
    <w:rsid w:val="7C853498"/>
    <w:rsid w:val="7CB376B5"/>
    <w:rsid w:val="7CBF0865"/>
    <w:rsid w:val="7FFA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framePr w:wrap="around"/>
      <w:ind w:firstLine="420"/>
    </w:pPr>
    <w:rPr>
      <w:szCs w:val="20"/>
    </w:rPr>
  </w:style>
  <w:style w:type="paragraph" w:styleId="3">
    <w:name w:val="annotation text"/>
    <w:basedOn w:val="1"/>
    <w:uiPriority w:val="0"/>
    <w:pPr>
      <w:jc w:val="left"/>
    </w:pPr>
  </w:style>
  <w:style w:type="paragraph" w:styleId="4">
    <w:name w:val="Body Text"/>
    <w:basedOn w:val="1"/>
    <w:next w:val="5"/>
    <w:autoRedefine/>
    <w:qFormat/>
    <w:uiPriority w:val="0"/>
    <w:pPr>
      <w:framePr w:wrap="around"/>
      <w:spacing w:line="380" w:lineRule="exact"/>
    </w:pPr>
  </w:style>
  <w:style w:type="paragraph" w:customStyle="1" w:styleId="5">
    <w:name w:val="一级条标题"/>
    <w:basedOn w:val="6"/>
    <w:next w:val="7"/>
    <w:autoRedefine/>
    <w:qFormat/>
    <w:uiPriority w:val="0"/>
    <w:pPr>
      <w:spacing w:line="240" w:lineRule="auto"/>
      <w:ind w:left="420"/>
      <w:outlineLvl w:val="2"/>
    </w:pPr>
  </w:style>
  <w:style w:type="paragraph" w:customStyle="1" w:styleId="6">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8">
    <w:name w:val="Body Text Indent 2"/>
    <w:basedOn w:val="1"/>
    <w:autoRedefine/>
    <w:qFormat/>
    <w:uiPriority w:val="0"/>
    <w:pPr>
      <w:framePr w:wrap="around"/>
      <w:spacing w:after="120" w:line="480" w:lineRule="auto"/>
      <w:ind w:left="420" w:leftChars="200"/>
    </w:pPr>
  </w:style>
  <w:style w:type="paragraph" w:styleId="9">
    <w:name w:val="footer"/>
    <w:autoRedefine/>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10">
    <w:name w:val="header"/>
    <w:basedOn w:val="1"/>
    <w:link w:val="21"/>
    <w:qFormat/>
    <w:uiPriority w:val="0"/>
    <w:pPr>
      <w:framePr w:wrap="around"/>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qFormat/>
    <w:uiPriority w:val="0"/>
    <w:rPr>
      <w:u w:val="single"/>
    </w:rPr>
  </w:style>
  <w:style w:type="paragraph" w:customStyle="1" w:styleId="16">
    <w:name w:val="表格文字"/>
    <w:basedOn w:val="1"/>
    <w:next w:val="4"/>
    <w:autoRedefine/>
    <w:qFormat/>
    <w:uiPriority w:val="0"/>
    <w:pPr>
      <w:framePr w:wrap="around"/>
      <w:spacing w:before="25" w:after="25"/>
    </w:pPr>
    <w:rPr>
      <w:bCs/>
      <w:spacing w:val="10"/>
    </w:rPr>
  </w:style>
  <w:style w:type="table" w:customStyle="1" w:styleId="17">
    <w:name w:val="Table Normal"/>
    <w:autoRedefine/>
    <w:qFormat/>
    <w:uiPriority w:val="0"/>
    <w:tblPr>
      <w:tblCellMar>
        <w:top w:w="0" w:type="dxa"/>
        <w:left w:w="0" w:type="dxa"/>
        <w:bottom w:w="0" w:type="dxa"/>
        <w:right w:w="0" w:type="dxa"/>
      </w:tblCellMar>
    </w:tblPr>
  </w:style>
  <w:style w:type="paragraph" w:customStyle="1" w:styleId="18">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20">
    <w:name w:val="List Paragraph"/>
    <w:autoRedefine/>
    <w:qFormat/>
    <w:uiPriority w:val="0"/>
    <w:pPr>
      <w:widowControl w:val="0"/>
      <w:spacing w:line="360" w:lineRule="auto"/>
      <w:ind w:firstLine="420"/>
      <w:jc w:val="both"/>
    </w:pPr>
    <w:rPr>
      <w:rFonts w:ascii="仿宋" w:hAnsi="仿宋" w:eastAsia="仿宋" w:cs="仿宋"/>
      <w:kern w:val="2"/>
      <w:sz w:val="24"/>
      <w:szCs w:val="24"/>
      <w:u w:color="000000"/>
      <w:lang w:val="en-US" w:eastAsia="zh-CN" w:bidi="ar-SA"/>
    </w:rPr>
  </w:style>
  <w:style w:type="character" w:customStyle="1" w:styleId="21">
    <w:name w:val="页眉 字符"/>
    <w:basedOn w:val="14"/>
    <w:link w:val="10"/>
    <w:qFormat/>
    <w:uiPriority w:val="0"/>
    <w:rPr>
      <w:rFonts w:eastAsia="Arial Unicode MS"/>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5887</Words>
  <Characters>6406</Characters>
  <Lines>30</Lines>
  <Paragraphs>8</Paragraphs>
  <TotalTime>9</TotalTime>
  <ScaleCrop>false</ScaleCrop>
  <LinksUpToDate>false</LinksUpToDate>
  <CharactersWithSpaces>6644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2025-04-07T09:25:00Z</dcterms:created>
  <dc:creator>lily</dc:creator>
  <cp:lastModifiedBy>x .</cp:lastModifiedBy>
  <dcterms:modified xsi:type="dcterms:W3CDTF">2025-07-09T00:16:11Z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0CDF9308B89B46B68584F561F2F8286A_13</vt:lpwstr>
  </property>
  <property fmtid="{D5CDD505-2E9C-101B-9397-08002B2CF9AE}" pid="4" name="KSOTemplateDocerSaveRecord">
    <vt:lpwstr>eyJoZGlkIjoiZTgxOTU1OTc4MzdmOTUwZWM0OTJlYjEyODVjYmI5ZmQiLCJ1c2VySWQiOiIyNDI1MjY3MzMifQ==</vt:lpwstr>
  </property>
</Properties>
</file>