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40"/>
          <w:szCs w:val="40"/>
          <w:highlight w:val="none"/>
          <w:rtl w:val="0"/>
          <w:lang w:val="zh-TW" w:eastAsia="zh-TW"/>
        </w:rPr>
        <w:t>复旦大学附属中山医院厦门医院</w:t>
      </w: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rtl w:val="0"/>
          <w:lang w:val="en-US" w:eastAsia="zh-CN"/>
        </w:rPr>
        <w:t>2026年科教中心大楼选择福建省电力零售市场购售电公司采购</w:t>
      </w:r>
      <w:r>
        <w:rPr>
          <w:rFonts w:ascii="仿宋" w:hAnsi="仿宋" w:eastAsia="仿宋" w:cs="仿宋"/>
          <w:b/>
          <w:bCs/>
          <w:sz w:val="32"/>
          <w:szCs w:val="32"/>
          <w:highlight w:val="none"/>
          <w:rtl w:val="0"/>
          <w:lang w:val="zh-TW" w:eastAsia="zh-TW"/>
        </w:rPr>
        <w:t>比价公告</w:t>
      </w: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项目编号：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20251119-BJ-KJZXGSD</w:t>
      </w: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44"/>
          <w:szCs w:val="44"/>
          <w:highlight w:val="none"/>
          <w:rtl w:val="0"/>
          <w:lang w:val="zh-TW" w:eastAsia="zh-TW"/>
        </w:rPr>
        <w:t>比价文件</w:t>
      </w: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both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采购人：复旦大学附属中山医院厦门医院</w:t>
      </w:r>
    </w:p>
    <w:p>
      <w:pPr>
        <w:pStyle w:val="10"/>
        <w:framePr w:wrap="auto" w:vAnchor="margin" w:hAnchor="text" w:yAlign="inline"/>
        <w:spacing w:line="360" w:lineRule="auto"/>
        <w:jc w:val="center"/>
        <w:rPr>
          <w:highlight w:val="yellow"/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720" w:num="1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11</w:t>
      </w: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19</w:t>
      </w: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日</w:t>
      </w:r>
    </w:p>
    <w:p>
      <w:pPr>
        <w:pStyle w:val="11"/>
        <w:framePr/>
        <w:spacing w:line="360" w:lineRule="auto"/>
        <w:ind w:firstLine="0"/>
        <w:jc w:val="center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第一章 比价公告</w:t>
      </w:r>
    </w:p>
    <w:p>
      <w:pPr>
        <w:pStyle w:val="10"/>
        <w:framePr w:wrap="auto" w:vAnchor="margin" w:hAnchor="text" w:yAlign="inline"/>
        <w:spacing w:line="360" w:lineRule="auto"/>
        <w:ind w:firstLine="48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复旦大学附属中山医院厦门医院（以下简称为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“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采购人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”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）现拟对以下项目进行比价采购，现邀请合格的参与比价供应商（以下简称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“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供应商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”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）参加此次比价：</w:t>
      </w:r>
    </w:p>
    <w:p>
      <w:pPr>
        <w:pStyle w:val="11"/>
        <w:framePr/>
        <w:numPr>
          <w:ilvl w:val="0"/>
          <w:numId w:val="1"/>
        </w:numPr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2026年科教中心大楼选择福建省电力零售市场购售电公司采购</w:t>
      </w:r>
    </w:p>
    <w:p>
      <w:pPr>
        <w:pStyle w:val="11"/>
        <w:framePr/>
        <w:numPr>
          <w:numId w:val="0"/>
        </w:numPr>
        <w:spacing w:line="360" w:lineRule="auto"/>
        <w:ind w:leftChars="0" w:right="0" w:rightChars="0"/>
        <w:rPr>
          <w:rFonts w:hint="default" w:ascii="仿宋" w:hAnsi="仿宋" w:eastAsia="仿宋" w:cs="仿宋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二、</w:t>
      </w:r>
      <w:bookmarkStart w:id="1" w:name="_GoBack"/>
      <w:bookmarkEnd w:id="1"/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项目编号：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20251119-BJ-KJZXGSD</w:t>
      </w:r>
    </w:p>
    <w:p>
      <w:pPr>
        <w:pStyle w:val="11"/>
        <w:framePr/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lang w:val="zh-TW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三、采购货物名称、数量及主要技术规格</w:t>
      </w:r>
    </w:p>
    <w:p>
      <w:pPr>
        <w:pStyle w:val="11"/>
        <w:framePr/>
        <w:spacing w:line="360" w:lineRule="auto"/>
        <w:ind w:firstLine="48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（一）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产品名称：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2026年科教中心大楼选择福建省电力零售市场购售电公司采购</w:t>
      </w:r>
    </w:p>
    <w:p>
      <w:pPr>
        <w:pStyle w:val="10"/>
        <w:framePr w:wrap="auto" w:vAnchor="margin" w:hAnchor="text" w:yAlign="inline"/>
        <w:spacing w:line="360" w:lineRule="auto"/>
        <w:ind w:firstLine="480"/>
        <w:rPr>
          <w:rFonts w:hint="default" w:ascii="仿宋" w:hAnsi="仿宋" w:eastAsia="仿宋" w:cs="仿宋"/>
          <w:sz w:val="24"/>
          <w:szCs w:val="24"/>
          <w:highlight w:val="none"/>
          <w:rtl w:val="0"/>
          <w:lang w:val="en-US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（二）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用途说明：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为2026年全院用电节省电费</w:t>
      </w:r>
    </w:p>
    <w:p>
      <w:pPr>
        <w:pStyle w:val="11"/>
        <w:framePr/>
        <w:spacing w:line="360" w:lineRule="auto"/>
        <w:ind w:firstLine="42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（三）主要技术性能指标及要求、配置：详见第二章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-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采购货物技术需求</w:t>
      </w:r>
    </w:p>
    <w:p>
      <w:pPr>
        <w:pStyle w:val="11"/>
        <w:framePr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 xml:space="preserve">四、公告期限： 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至少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3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个工作日</w:t>
      </w:r>
    </w:p>
    <w:p>
      <w:pPr>
        <w:pStyle w:val="11"/>
        <w:framePr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五、比价文件获取方式</w:t>
      </w:r>
    </w:p>
    <w:p>
      <w:pPr>
        <w:pStyle w:val="11"/>
        <w:framePr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11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19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上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9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: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0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0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时至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11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21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日下午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17:30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时（法定节假日除外，上午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08:00-12:00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，下午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13:30-17:00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），从复旦大学附属中山医院厦门医院官方网站（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http://www.zsxmhospital.com/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-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医院信息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-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招标通知下载获取。</w:t>
      </w:r>
    </w:p>
    <w:p>
      <w:pPr>
        <w:pStyle w:val="11"/>
        <w:framePr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（一）提交响应文件截止时间</w:t>
      </w:r>
    </w:p>
    <w:p>
      <w:pPr>
        <w:pStyle w:val="11"/>
        <w:framePr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11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21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日下午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17:30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时前，将密封相应文件提交至复旦大学附属中山医院厦门医院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门诊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部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四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楼总务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部</w:t>
      </w:r>
    </w:p>
    <w:p>
      <w:pPr>
        <w:pStyle w:val="11"/>
        <w:framePr/>
        <w:spacing w:line="360" w:lineRule="auto"/>
        <w:ind w:firstLine="482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逾期提交或不符合规定的响应文件恕不接受。</w:t>
      </w:r>
    </w:p>
    <w:p>
      <w:pPr>
        <w:pStyle w:val="11"/>
        <w:framePr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（二）以上信息如有变更，采购人将通过复旦大学附属中山医院厦门医院官方网站（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http://www.zsxmhospital.com/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）发布更新，请各位参与比价供应商关注。</w:t>
      </w:r>
    </w:p>
    <w:p>
      <w:pPr>
        <w:pStyle w:val="11"/>
        <w:framePr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六、 本项目不接受联合体报价。</w:t>
      </w:r>
    </w:p>
    <w:p>
      <w:pPr>
        <w:pStyle w:val="10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地址：厦门市湖里区金湖路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668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号复旦大学附属中山医院厦门医院</w:t>
      </w:r>
    </w:p>
    <w:p>
      <w:pPr>
        <w:pStyle w:val="10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邮编：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360105</w:t>
      </w:r>
    </w:p>
    <w:p>
      <w:pPr>
        <w:pStyle w:val="10"/>
        <w:framePr w:wrap="auto" w:vAnchor="margin" w:hAnchor="text" w:yAlign="inline"/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电话：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0592-3569717</w:t>
      </w:r>
    </w:p>
    <w:p>
      <w:pPr>
        <w:pStyle w:val="10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联系人：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李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老师</w:t>
      </w:r>
    </w:p>
    <w:p>
      <w:pPr>
        <w:pStyle w:val="10"/>
        <w:framePr w:wrap="auto" w:vAnchor="margin" w:hAnchor="text" w:yAlign="inline"/>
        <w:wordWrap w:val="0"/>
        <w:spacing w:line="360" w:lineRule="auto"/>
        <w:jc w:val="righ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11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19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日 星期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三</w:t>
      </w: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10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第二章 供应商须知</w:t>
      </w:r>
    </w:p>
    <w:p>
      <w:pPr>
        <w:pStyle w:val="10"/>
        <w:framePr w:wrap="auto" w:vAnchor="margin" w:hAnchor="text" w:yAlign="inline"/>
        <w:spacing w:line="360" w:lineRule="auto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一、 总则</w:t>
      </w:r>
    </w:p>
    <w:p>
      <w:pPr>
        <w:pStyle w:val="10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（一） 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2026年科教中心大楼选择福建省电力零售市场购售电公司采购</w:t>
      </w:r>
    </w:p>
    <w:p>
      <w:pPr>
        <w:framePr w:wrap="auto" w:vAnchor="margin" w:hAnchor="text" w:yAlign="inline"/>
        <w:spacing w:line="360" w:lineRule="auto"/>
        <w:ind w:left="-228" w:leftChars="-95"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（二） 项目内容：：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2026年福建省电力零售市场购电</w:t>
      </w:r>
    </w:p>
    <w:p>
      <w:pPr>
        <w:pStyle w:val="10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（三） 项目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控制价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本项目控制价为福建省燃煤基准价上下浮20%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总价包干，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报价均不得超过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控制价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限价，否则视为无效报价。</w:t>
      </w:r>
    </w:p>
    <w:p>
      <w:pPr>
        <w:pStyle w:val="10"/>
        <w:framePr w:wrap="auto" w:vAnchor="margin" w:hAnchor="text" w:yAlign="inline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（四） 本次比价不接受联合体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。</w:t>
      </w:r>
    </w:p>
    <w:p>
      <w:pPr>
        <w:pStyle w:val="10"/>
        <w:framePr w:wrap="auto" w:vAnchor="margin" w:hAnchor="text" w:yAlign="inline"/>
        <w:spacing w:line="360" w:lineRule="auto"/>
        <w:rPr>
          <w:rFonts w:hint="eastAsia" w:ascii="仿宋" w:hAnsi="仿宋" w:eastAsia="仿宋" w:cs="仿宋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vertAlign w:val="baseline"/>
          <w:rtl w:val="0"/>
          <w:lang w:val="zh-TW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定标原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vertAlign w:val="baseline"/>
          <w:rtl w:val="0"/>
          <w:lang w:val="en-US" w:eastAsia="zh-CN" w:bidi="ar-SA"/>
        </w:rPr>
        <w:t>则：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vertAlign w:val="baseline"/>
          <w:rtl w:val="0"/>
          <w:lang w:val="zh-TW" w:eastAsia="zh-TW" w:bidi="ar-SA"/>
        </w:rPr>
        <w:t>在实质性响应询价要求的前提下，经评审的各投标单位报价平均值作为评标基准价，原则上投标人投标报价与基准价之差的绝对值最小则确定为中标人。若投标单位投标报价与基准价之差的绝对值一致时，采用随机抽取的方式确定中标人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vertAlign w:val="baseline"/>
          <w:rtl w:val="0"/>
          <w:lang w:val="zh-TW" w:eastAsia="zh-CN" w:bidi="ar-SA"/>
        </w:rPr>
        <w:t>。</w:t>
      </w:r>
    </w:p>
    <w:p>
      <w:pPr>
        <w:pStyle w:val="10"/>
        <w:framePr w:wrap="auto" w:vAnchor="margin" w:hAnchor="text" w:yAlign="inline"/>
        <w:spacing w:line="360" w:lineRule="auto"/>
        <w:rPr>
          <w:rFonts w:hint="eastAsia" w:ascii="仿宋" w:hAnsi="仿宋" w:eastAsia="仿宋" w:cs="仿宋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vertAlign w:val="baseli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rtl w:val="0"/>
          <w:lang w:val="en-US" w:eastAsia="zh-CN"/>
        </w:rPr>
        <w:t>二</w:t>
      </w: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、 项目要求</w:t>
      </w:r>
    </w:p>
    <w:p>
      <w:pPr>
        <w:pStyle w:val="11"/>
        <w:framePr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一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）报价人应具备独立的法人资格，并提供工商营业执照（副本）复印件（加盖公章），提供组织机构代码证复印件。报价人已提供加载有统一社会信用代码营业执照的，视为已提供税务登记证和组织机构代码证。</w:t>
      </w:r>
    </w:p>
    <w:p>
      <w:pPr>
        <w:pStyle w:val="11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二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售电方应严格遵守执行《福建省电力中长期交易规则》、《福建省售电公司准入与退出管理实施细则》等相关管理文件，严格遵守市场规则，维护市场秩序。</w:t>
      </w:r>
    </w:p>
    <w:p>
      <w:pPr>
        <w:pStyle w:val="11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国家、省、市对参与电力上交易用电用户的输配电价，政府基金等政策性补贴全归医院所有，与售电方无关。</w:t>
      </w:r>
    </w:p>
    <w:p>
      <w:pPr>
        <w:pStyle w:val="11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本项目采购方式:固定电价低者中选，如遇报价一致，通过评委会随机抽取。</w:t>
      </w:r>
    </w:p>
    <w:p>
      <w:pPr>
        <w:pStyle w:val="11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（五）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医院不承担偏差考核费用。</w:t>
      </w:r>
    </w:p>
    <w:p>
      <w:pPr>
        <w:pStyle w:val="11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售电方应指导报电量。</w:t>
      </w:r>
    </w:p>
    <w:p>
      <w:pPr>
        <w:pStyle w:val="11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（七）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售电方应为医院提供每月足够的电量。</w:t>
      </w:r>
    </w:p>
    <w:p>
      <w:pPr>
        <w:pStyle w:val="11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（八）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售电方应告知医院交易结果、交易数据及竞价过程。</w:t>
      </w:r>
    </w:p>
    <w:p>
      <w:pPr>
        <w:pStyle w:val="11"/>
        <w:framePr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（九）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应在福建电力交易平台和“e-交易”APP入市的公司</w:t>
      </w:r>
    </w:p>
    <w:p>
      <w:pPr>
        <w:pStyle w:val="11"/>
        <w:framePr/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（十）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服务期限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为2026年一年。</w:t>
      </w:r>
      <w:bookmarkStart w:id="0" w:name="_MON_1613639284"/>
    </w:p>
    <w:p>
      <w:pPr>
        <w:pStyle w:val="10"/>
        <w:framePr w:wrap="auto" w:vAnchor="margin" w:hAnchor="text" w:yAlign="inline"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rtl w:val="0"/>
          <w:lang w:val="en-US" w:eastAsia="zh-CN"/>
        </w:rPr>
      </w:pPr>
    </w:p>
    <w:p>
      <w:pPr>
        <w:pStyle w:val="10"/>
        <w:framePr w:wrap="auto" w:vAnchor="margin" w:hAnchor="text" w:yAlign="inline"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rtl w:val="0"/>
          <w:lang w:val="en-US" w:eastAsia="zh-CN"/>
        </w:rPr>
      </w:pPr>
    </w:p>
    <w:p>
      <w:pPr>
        <w:pStyle w:val="10"/>
        <w:framePr w:wrap="auto" w:vAnchor="margin" w:hAnchor="text" w:yAlign="inline"/>
        <w:spacing w:line="360" w:lineRule="auto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rtl w:val="0"/>
          <w:lang w:val="en-US" w:eastAsia="zh-CN"/>
        </w:rPr>
        <w:t>三</w:t>
      </w: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、密封文件内容</w:t>
      </w:r>
    </w:p>
    <w:p>
      <w:pPr>
        <w:pStyle w:val="10"/>
        <w:framePr w:wrap="auto" w:vAnchor="margin" w:hAnchor="text" w:yAlign="inline"/>
        <w:numPr>
          <w:ilvl w:val="0"/>
          <w:numId w:val="0"/>
        </w:numPr>
        <w:bidi w:val="0"/>
        <w:spacing w:line="360" w:lineRule="auto"/>
        <w:ind w:leftChars="0" w:right="0" w:rightChars="0"/>
        <w:jc w:val="both"/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2026年福建省电力零售市场购售电报价单；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line="360" w:lineRule="auto"/>
        <w:ind w:leftChars="0" w:right="0" w:rightChars="0"/>
        <w:jc w:val="both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营业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执照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复印件等相关资质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；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line="360" w:lineRule="auto"/>
        <w:ind w:leftChars="0" w:right="0" w:rightChars="0"/>
        <w:jc w:val="both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售电公司在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福建电力交易平台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市场主体名录截图。</w:t>
      </w:r>
    </w:p>
    <w:p>
      <w:pPr>
        <w:pStyle w:val="10"/>
        <w:framePr w:wrap="auto" w:vAnchor="margin" w:hAnchor="text" w:yAlign="inline"/>
        <w:spacing w:line="360" w:lineRule="auto"/>
        <w:rPr>
          <w:highlight w:val="none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以上文件均需加盖公章，如无加盖，以无效报价处理。</w:t>
      </w:r>
      <w:bookmarkEnd w:id="0"/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margin" w:hAnchor="text" w:yAlign="inline"/>
      <w:tabs>
        <w:tab w:val="right" w:pos="8280"/>
        <w:tab w:val="clear" w:pos="8306"/>
      </w:tabs>
      <w:jc w:val="right"/>
    </w:pPr>
    <w:r>
      <w:rPr>
        <w:rtl w:val="0"/>
      </w:rPr>
      <w:fldChar w:fldCharType="begin"/>
    </w:r>
    <w:r>
      <w:rPr>
        <w:rtl w:val="0"/>
      </w:rPr>
      <w:instrText xml:space="preserve"> PAGE </w:instrText>
    </w:r>
    <w:r>
      <w:rPr>
        <w:rtl w:val="0"/>
      </w:rPr>
      <w:fldChar w:fldCharType="separate"/>
    </w:r>
    <w:r>
      <w:rPr>
        <w:rtl w:val="0"/>
      </w:rPr>
      <w:t>1</w:t>
    </w:r>
    <w:r>
      <w:rPr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margin" w:hAnchor="text" w:yAlign="inline"/>
      <w:tabs>
        <w:tab w:val="right" w:pos="8280"/>
        <w:tab w:val="clear" w:pos="8306"/>
      </w:tabs>
    </w:pPr>
    <w:r>
      <w:rPr>
        <w:rtl w:val="0"/>
        <w:lang w:val="en-US"/>
      </w:rPr>
      <w:t xml:space="preserve">                                             </w:t>
    </w:r>
    <w:r>
      <w:rPr>
        <w:rFonts w:ascii="宋体" w:hAnsi="宋体" w:eastAsia="宋体" w:cs="宋体"/>
        <w:rtl w:val="0"/>
        <w:lang w:val="en-US"/>
      </w:rPr>
      <w:t xml:space="preserve">                           </w:t>
    </w:r>
    <w:r>
      <w:rPr>
        <w:rFonts w:ascii="宋体" w:hAnsi="宋体" w:eastAsia="宋体" w:cs="宋体"/>
        <w:rtl w:val="0"/>
        <w:lang w:val="zh-TW" w:eastAsia="zh-TW"/>
      </w:rPr>
      <w:t>第</w:t>
    </w:r>
    <w:r>
      <w:rPr>
        <w:rFonts w:ascii="宋体" w:hAnsi="宋体" w:eastAsia="宋体" w:cs="宋体"/>
        <w:rtl w:val="0"/>
        <w:lang w:val="en-US"/>
      </w:rPr>
      <w:fldChar w:fldCharType="begin"/>
    </w:r>
    <w:r>
      <w:rPr>
        <w:rFonts w:ascii="宋体" w:hAnsi="宋体" w:eastAsia="宋体" w:cs="宋体"/>
        <w:rtl w:val="0"/>
        <w:lang w:val="en-US"/>
      </w:rPr>
      <w:instrText xml:space="preserve"> PAGE </w:instrText>
    </w:r>
    <w:r>
      <w:rPr>
        <w:rFonts w:ascii="宋体" w:hAnsi="宋体" w:eastAsia="宋体" w:cs="宋体"/>
        <w:rtl w:val="0"/>
        <w:lang w:val="en-US"/>
      </w:rPr>
      <w:fldChar w:fldCharType="separate"/>
    </w:r>
    <w:r>
      <w:rPr>
        <w:rFonts w:ascii="宋体" w:hAnsi="宋体" w:eastAsia="宋体" w:cs="宋体"/>
        <w:rtl w:val="0"/>
        <w:lang w:val="en-US"/>
      </w:rPr>
      <w:t>1</w:t>
    </w:r>
    <w:r>
      <w:rPr>
        <w:rFonts w:ascii="宋体" w:hAnsi="宋体" w:eastAsia="宋体" w:cs="宋体"/>
        <w:rtl w:val="0"/>
        <w:lang w:val="en-US"/>
      </w:rPr>
      <w:fldChar w:fldCharType="end"/>
    </w:r>
    <w:r>
      <w:rPr>
        <w:rFonts w:ascii="宋体" w:hAnsi="宋体" w:eastAsia="宋体" w:cs="宋体"/>
        <w:rtl w:val="0"/>
        <w:lang w:val="zh-TW" w:eastAsia="zh-TW"/>
      </w:rPr>
      <w:t>页，共</w:t>
    </w:r>
    <w:r>
      <w:rPr>
        <w:rFonts w:ascii="宋体" w:hAnsi="宋体" w:eastAsia="宋体" w:cs="宋体"/>
        <w:rtl w:val="0"/>
        <w:lang w:val="en-US"/>
      </w:rPr>
      <w:fldChar w:fldCharType="begin"/>
    </w:r>
    <w:r>
      <w:rPr>
        <w:rFonts w:ascii="宋体" w:hAnsi="宋体" w:eastAsia="宋体" w:cs="宋体"/>
        <w:rtl w:val="0"/>
        <w:lang w:val="en-US"/>
      </w:rPr>
      <w:instrText xml:space="preserve"> NUMPAGES </w:instrText>
    </w:r>
    <w:r>
      <w:rPr>
        <w:rFonts w:ascii="宋体" w:hAnsi="宋体" w:eastAsia="宋体" w:cs="宋体"/>
        <w:rtl w:val="0"/>
        <w:lang w:val="en-US"/>
      </w:rPr>
      <w:fldChar w:fldCharType="separate"/>
    </w:r>
    <w:r>
      <w:rPr>
        <w:rFonts w:ascii="宋体" w:hAnsi="宋体" w:eastAsia="宋体" w:cs="宋体"/>
        <w:rtl w:val="0"/>
        <w:lang w:val="en-US"/>
      </w:rPr>
      <w:t>1</w:t>
    </w:r>
    <w:r>
      <w:rPr>
        <w:rFonts w:ascii="宋体" w:hAnsi="宋体" w:eastAsia="宋体" w:cs="宋体"/>
        <w:rtl w:val="0"/>
        <w:lang w:val="en-US"/>
      </w:rPr>
      <w:fldChar w:fldCharType="end"/>
    </w:r>
    <w:r>
      <w:rPr>
        <w:rFonts w:ascii="宋体" w:hAnsi="宋体" w:eastAsia="宋体" w:cs="宋体"/>
        <w:rtl w:val="0"/>
        <w:lang w:val="zh-TW" w:eastAsia="zh-TW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F7C633"/>
    <w:multiLevelType w:val="singleLevel"/>
    <w:tmpl w:val="A1F7C63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412C5F"/>
    <w:multiLevelType w:val="singleLevel"/>
    <w:tmpl w:val="0F412C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ZDU5MGFjMmQ3Y2E0ODQ5MDhlOTUxOGJkZTFjYzg0OGUifQ=="/>
  </w:docVars>
  <w:rsids>
    <w:rsidRoot w:val="00000000"/>
    <w:rsid w:val="00150105"/>
    <w:rsid w:val="001F68EC"/>
    <w:rsid w:val="00523369"/>
    <w:rsid w:val="008031C1"/>
    <w:rsid w:val="00A24937"/>
    <w:rsid w:val="00F61561"/>
    <w:rsid w:val="015503D7"/>
    <w:rsid w:val="019A4DD5"/>
    <w:rsid w:val="01E167CE"/>
    <w:rsid w:val="01EF2B43"/>
    <w:rsid w:val="021165BE"/>
    <w:rsid w:val="021A15F8"/>
    <w:rsid w:val="029270BB"/>
    <w:rsid w:val="029F6C04"/>
    <w:rsid w:val="02D20E41"/>
    <w:rsid w:val="03836053"/>
    <w:rsid w:val="03BB72FE"/>
    <w:rsid w:val="03BC646C"/>
    <w:rsid w:val="04967B48"/>
    <w:rsid w:val="04997F7C"/>
    <w:rsid w:val="04B1148A"/>
    <w:rsid w:val="04E0125F"/>
    <w:rsid w:val="05143703"/>
    <w:rsid w:val="05294A64"/>
    <w:rsid w:val="05951460"/>
    <w:rsid w:val="059C7845"/>
    <w:rsid w:val="05A3406A"/>
    <w:rsid w:val="05B240D6"/>
    <w:rsid w:val="05FC781B"/>
    <w:rsid w:val="06AE47C1"/>
    <w:rsid w:val="07107143"/>
    <w:rsid w:val="071F36C8"/>
    <w:rsid w:val="077645DC"/>
    <w:rsid w:val="07F435D3"/>
    <w:rsid w:val="08604FF0"/>
    <w:rsid w:val="086537AE"/>
    <w:rsid w:val="088B5CD8"/>
    <w:rsid w:val="088D3FBD"/>
    <w:rsid w:val="088F1C59"/>
    <w:rsid w:val="08D65454"/>
    <w:rsid w:val="08F2077E"/>
    <w:rsid w:val="09736C0C"/>
    <w:rsid w:val="09782741"/>
    <w:rsid w:val="098C324C"/>
    <w:rsid w:val="09DF43AC"/>
    <w:rsid w:val="09FF3E20"/>
    <w:rsid w:val="0A5157A0"/>
    <w:rsid w:val="0A6121F5"/>
    <w:rsid w:val="0A686E4A"/>
    <w:rsid w:val="0A6D42B5"/>
    <w:rsid w:val="0B1B42D0"/>
    <w:rsid w:val="0B7837ED"/>
    <w:rsid w:val="0B7B1D55"/>
    <w:rsid w:val="0BBD1A2C"/>
    <w:rsid w:val="0BDC3248"/>
    <w:rsid w:val="0C0A4242"/>
    <w:rsid w:val="0C10649F"/>
    <w:rsid w:val="0C2F5C4C"/>
    <w:rsid w:val="0C4B1536"/>
    <w:rsid w:val="0C870BA1"/>
    <w:rsid w:val="0CF64FD9"/>
    <w:rsid w:val="0CF7654E"/>
    <w:rsid w:val="0CFE15F5"/>
    <w:rsid w:val="0D116B29"/>
    <w:rsid w:val="0D1A2ED5"/>
    <w:rsid w:val="0D2B4E04"/>
    <w:rsid w:val="0D910467"/>
    <w:rsid w:val="0DCA3899"/>
    <w:rsid w:val="0DE96302"/>
    <w:rsid w:val="0E0401F6"/>
    <w:rsid w:val="0E1E648D"/>
    <w:rsid w:val="0E237344"/>
    <w:rsid w:val="0E84730D"/>
    <w:rsid w:val="0E95299C"/>
    <w:rsid w:val="0F0B7509"/>
    <w:rsid w:val="0F49073E"/>
    <w:rsid w:val="0F593660"/>
    <w:rsid w:val="0F6C77A2"/>
    <w:rsid w:val="0FAA5A3C"/>
    <w:rsid w:val="0FC81B39"/>
    <w:rsid w:val="0FDA4FB0"/>
    <w:rsid w:val="0FE72B1A"/>
    <w:rsid w:val="0FE80547"/>
    <w:rsid w:val="0FE826D4"/>
    <w:rsid w:val="102232FE"/>
    <w:rsid w:val="10277A49"/>
    <w:rsid w:val="103B78A4"/>
    <w:rsid w:val="104361D4"/>
    <w:rsid w:val="106F514D"/>
    <w:rsid w:val="1128007D"/>
    <w:rsid w:val="113706AD"/>
    <w:rsid w:val="113F4A59"/>
    <w:rsid w:val="11CF2185"/>
    <w:rsid w:val="121A7673"/>
    <w:rsid w:val="121B3286"/>
    <w:rsid w:val="121C3B81"/>
    <w:rsid w:val="122A46C0"/>
    <w:rsid w:val="1250061C"/>
    <w:rsid w:val="12D51D61"/>
    <w:rsid w:val="12D653EA"/>
    <w:rsid w:val="13322CF3"/>
    <w:rsid w:val="133C0A5C"/>
    <w:rsid w:val="13BC7C0B"/>
    <w:rsid w:val="13D01A33"/>
    <w:rsid w:val="13DF0000"/>
    <w:rsid w:val="13F868B9"/>
    <w:rsid w:val="14045A5E"/>
    <w:rsid w:val="14404D7D"/>
    <w:rsid w:val="145C3E39"/>
    <w:rsid w:val="14723812"/>
    <w:rsid w:val="14864A6D"/>
    <w:rsid w:val="14941419"/>
    <w:rsid w:val="151463F8"/>
    <w:rsid w:val="15206489"/>
    <w:rsid w:val="152F3C03"/>
    <w:rsid w:val="155D26BF"/>
    <w:rsid w:val="158E3DA6"/>
    <w:rsid w:val="15C13E17"/>
    <w:rsid w:val="160215CF"/>
    <w:rsid w:val="16257A57"/>
    <w:rsid w:val="1627610F"/>
    <w:rsid w:val="1662643D"/>
    <w:rsid w:val="169A42F5"/>
    <w:rsid w:val="171F44E0"/>
    <w:rsid w:val="172238EB"/>
    <w:rsid w:val="175E61B1"/>
    <w:rsid w:val="178F15D2"/>
    <w:rsid w:val="17C13D92"/>
    <w:rsid w:val="17D14BB3"/>
    <w:rsid w:val="17FE661B"/>
    <w:rsid w:val="17FF51BF"/>
    <w:rsid w:val="1862326F"/>
    <w:rsid w:val="18A43061"/>
    <w:rsid w:val="18A9431A"/>
    <w:rsid w:val="18B5026E"/>
    <w:rsid w:val="18E318CF"/>
    <w:rsid w:val="18E9674D"/>
    <w:rsid w:val="190941D5"/>
    <w:rsid w:val="195F0E17"/>
    <w:rsid w:val="197B3448"/>
    <w:rsid w:val="1983715B"/>
    <w:rsid w:val="19FB5A07"/>
    <w:rsid w:val="1A9430A9"/>
    <w:rsid w:val="1AD36273"/>
    <w:rsid w:val="1AF6103E"/>
    <w:rsid w:val="1B1C60FF"/>
    <w:rsid w:val="1B236841"/>
    <w:rsid w:val="1B660DB9"/>
    <w:rsid w:val="1BAB2A69"/>
    <w:rsid w:val="1BC12289"/>
    <w:rsid w:val="1C227E5A"/>
    <w:rsid w:val="1C2C3292"/>
    <w:rsid w:val="1C2D18CF"/>
    <w:rsid w:val="1C3E768C"/>
    <w:rsid w:val="1C4F395A"/>
    <w:rsid w:val="1C4F6C9D"/>
    <w:rsid w:val="1C587C9B"/>
    <w:rsid w:val="1C6B0504"/>
    <w:rsid w:val="1CD93F2D"/>
    <w:rsid w:val="1CFE4B13"/>
    <w:rsid w:val="1D5657AB"/>
    <w:rsid w:val="1D576905"/>
    <w:rsid w:val="1D8D53F4"/>
    <w:rsid w:val="1E4904BE"/>
    <w:rsid w:val="1E795482"/>
    <w:rsid w:val="1E7F6344"/>
    <w:rsid w:val="1E8556B5"/>
    <w:rsid w:val="1EC84923"/>
    <w:rsid w:val="1ECE737B"/>
    <w:rsid w:val="1F050AE6"/>
    <w:rsid w:val="1FE54C7F"/>
    <w:rsid w:val="20D01C38"/>
    <w:rsid w:val="20FE1185"/>
    <w:rsid w:val="21496D9A"/>
    <w:rsid w:val="215D5A36"/>
    <w:rsid w:val="218455EE"/>
    <w:rsid w:val="21D20C8F"/>
    <w:rsid w:val="220D5924"/>
    <w:rsid w:val="22577EB4"/>
    <w:rsid w:val="22602FB5"/>
    <w:rsid w:val="22822316"/>
    <w:rsid w:val="229226A0"/>
    <w:rsid w:val="22DA707F"/>
    <w:rsid w:val="23224A72"/>
    <w:rsid w:val="23543F1F"/>
    <w:rsid w:val="2370252E"/>
    <w:rsid w:val="237A2A39"/>
    <w:rsid w:val="239A075D"/>
    <w:rsid w:val="23AF24AD"/>
    <w:rsid w:val="23DA6366"/>
    <w:rsid w:val="244378E3"/>
    <w:rsid w:val="248459EB"/>
    <w:rsid w:val="24902987"/>
    <w:rsid w:val="24A975F3"/>
    <w:rsid w:val="24FF0B31"/>
    <w:rsid w:val="25375ED9"/>
    <w:rsid w:val="253A695B"/>
    <w:rsid w:val="253B784E"/>
    <w:rsid w:val="254875EC"/>
    <w:rsid w:val="257A2337"/>
    <w:rsid w:val="2592736F"/>
    <w:rsid w:val="25AB753E"/>
    <w:rsid w:val="25D9616B"/>
    <w:rsid w:val="25ED3BB0"/>
    <w:rsid w:val="26294890"/>
    <w:rsid w:val="264B629E"/>
    <w:rsid w:val="2652085A"/>
    <w:rsid w:val="265D379E"/>
    <w:rsid w:val="26DD7960"/>
    <w:rsid w:val="270926F6"/>
    <w:rsid w:val="2758093E"/>
    <w:rsid w:val="2758405E"/>
    <w:rsid w:val="278D0089"/>
    <w:rsid w:val="279913B3"/>
    <w:rsid w:val="27AE068E"/>
    <w:rsid w:val="27B669ED"/>
    <w:rsid w:val="27C23233"/>
    <w:rsid w:val="280F47CE"/>
    <w:rsid w:val="282E698D"/>
    <w:rsid w:val="28482EEE"/>
    <w:rsid w:val="284C56EB"/>
    <w:rsid w:val="286E1BE5"/>
    <w:rsid w:val="28965E0F"/>
    <w:rsid w:val="28DB70BE"/>
    <w:rsid w:val="28F0490B"/>
    <w:rsid w:val="28FA68BE"/>
    <w:rsid w:val="294F14BC"/>
    <w:rsid w:val="297560E4"/>
    <w:rsid w:val="29B044D8"/>
    <w:rsid w:val="29B545F2"/>
    <w:rsid w:val="29B86CF4"/>
    <w:rsid w:val="29EC011A"/>
    <w:rsid w:val="2A1E153D"/>
    <w:rsid w:val="2A9F4028"/>
    <w:rsid w:val="2AEC5AF3"/>
    <w:rsid w:val="2AF90C46"/>
    <w:rsid w:val="2B0D2028"/>
    <w:rsid w:val="2B4818C1"/>
    <w:rsid w:val="2BA67B62"/>
    <w:rsid w:val="2BB529CB"/>
    <w:rsid w:val="2BE31EE2"/>
    <w:rsid w:val="2C274E79"/>
    <w:rsid w:val="2C2B297A"/>
    <w:rsid w:val="2C38064C"/>
    <w:rsid w:val="2C3A1F46"/>
    <w:rsid w:val="2C5C6D72"/>
    <w:rsid w:val="2C8F2B89"/>
    <w:rsid w:val="2CA456AF"/>
    <w:rsid w:val="2D1E46A1"/>
    <w:rsid w:val="2D396F40"/>
    <w:rsid w:val="2D9F26CC"/>
    <w:rsid w:val="2DAC6AF1"/>
    <w:rsid w:val="2DCD6330"/>
    <w:rsid w:val="2DE90339"/>
    <w:rsid w:val="2DFC2CBC"/>
    <w:rsid w:val="2EF47FD2"/>
    <w:rsid w:val="2EFC51A8"/>
    <w:rsid w:val="2F1D184E"/>
    <w:rsid w:val="2F6B773A"/>
    <w:rsid w:val="2F9044AB"/>
    <w:rsid w:val="2F912CB6"/>
    <w:rsid w:val="2FD0485A"/>
    <w:rsid w:val="30051789"/>
    <w:rsid w:val="30303C6B"/>
    <w:rsid w:val="309B523D"/>
    <w:rsid w:val="30F31ADF"/>
    <w:rsid w:val="3135642B"/>
    <w:rsid w:val="31445DC5"/>
    <w:rsid w:val="3175336D"/>
    <w:rsid w:val="319764C7"/>
    <w:rsid w:val="31CE2A7C"/>
    <w:rsid w:val="32250252"/>
    <w:rsid w:val="322A0D16"/>
    <w:rsid w:val="328029E5"/>
    <w:rsid w:val="32C5795E"/>
    <w:rsid w:val="32CC46BD"/>
    <w:rsid w:val="33510082"/>
    <w:rsid w:val="335E28CA"/>
    <w:rsid w:val="3377207B"/>
    <w:rsid w:val="341725D1"/>
    <w:rsid w:val="344229E3"/>
    <w:rsid w:val="34A6640F"/>
    <w:rsid w:val="34AC5B98"/>
    <w:rsid w:val="34E93E3E"/>
    <w:rsid w:val="352A571D"/>
    <w:rsid w:val="354269F7"/>
    <w:rsid w:val="35763E06"/>
    <w:rsid w:val="35812418"/>
    <w:rsid w:val="358C5F53"/>
    <w:rsid w:val="35924DC3"/>
    <w:rsid w:val="359A7BD9"/>
    <w:rsid w:val="35D15A5A"/>
    <w:rsid w:val="35F269E7"/>
    <w:rsid w:val="360B4B7A"/>
    <w:rsid w:val="362C2830"/>
    <w:rsid w:val="36425F4D"/>
    <w:rsid w:val="364E3132"/>
    <w:rsid w:val="36884B1B"/>
    <w:rsid w:val="36A52F83"/>
    <w:rsid w:val="36AA5755"/>
    <w:rsid w:val="37051849"/>
    <w:rsid w:val="37492285"/>
    <w:rsid w:val="375F0C16"/>
    <w:rsid w:val="37BC0DFD"/>
    <w:rsid w:val="37BD45A3"/>
    <w:rsid w:val="37D37D11"/>
    <w:rsid w:val="3814182D"/>
    <w:rsid w:val="382843B3"/>
    <w:rsid w:val="385177DE"/>
    <w:rsid w:val="3874181E"/>
    <w:rsid w:val="38743A53"/>
    <w:rsid w:val="38AE4FE0"/>
    <w:rsid w:val="38C5609E"/>
    <w:rsid w:val="390A030B"/>
    <w:rsid w:val="392565E2"/>
    <w:rsid w:val="393142F9"/>
    <w:rsid w:val="39503C4F"/>
    <w:rsid w:val="39720B4C"/>
    <w:rsid w:val="39AB545C"/>
    <w:rsid w:val="39ED72A4"/>
    <w:rsid w:val="3A012AAA"/>
    <w:rsid w:val="3A162A23"/>
    <w:rsid w:val="3A2C7DE3"/>
    <w:rsid w:val="3A3652AF"/>
    <w:rsid w:val="3A944360"/>
    <w:rsid w:val="3B133D7F"/>
    <w:rsid w:val="3B87347B"/>
    <w:rsid w:val="3BB6489E"/>
    <w:rsid w:val="3BCF369A"/>
    <w:rsid w:val="3BDA2D21"/>
    <w:rsid w:val="3C3A2CF9"/>
    <w:rsid w:val="3CAC49F2"/>
    <w:rsid w:val="3CCE05A1"/>
    <w:rsid w:val="3D1C0489"/>
    <w:rsid w:val="3D450B37"/>
    <w:rsid w:val="3D774D7D"/>
    <w:rsid w:val="3D7755F9"/>
    <w:rsid w:val="3E0B0E66"/>
    <w:rsid w:val="3E54251D"/>
    <w:rsid w:val="3ED458FA"/>
    <w:rsid w:val="3ED5561A"/>
    <w:rsid w:val="3ED80789"/>
    <w:rsid w:val="3F0221EB"/>
    <w:rsid w:val="3F1E03E4"/>
    <w:rsid w:val="3F443688"/>
    <w:rsid w:val="3F8A7EDD"/>
    <w:rsid w:val="3F8E4755"/>
    <w:rsid w:val="3F9B48F2"/>
    <w:rsid w:val="3FD31246"/>
    <w:rsid w:val="404761B6"/>
    <w:rsid w:val="405866A6"/>
    <w:rsid w:val="40634A03"/>
    <w:rsid w:val="40947B2A"/>
    <w:rsid w:val="409C4E11"/>
    <w:rsid w:val="40AE054A"/>
    <w:rsid w:val="40AE4014"/>
    <w:rsid w:val="40C975EE"/>
    <w:rsid w:val="41177DC8"/>
    <w:rsid w:val="41436C2A"/>
    <w:rsid w:val="417D715B"/>
    <w:rsid w:val="417F1C23"/>
    <w:rsid w:val="41A223F9"/>
    <w:rsid w:val="41B922DD"/>
    <w:rsid w:val="41F12821"/>
    <w:rsid w:val="41FC6274"/>
    <w:rsid w:val="421D2B0A"/>
    <w:rsid w:val="4224767B"/>
    <w:rsid w:val="42774314"/>
    <w:rsid w:val="42B83508"/>
    <w:rsid w:val="42D07525"/>
    <w:rsid w:val="42EA5B94"/>
    <w:rsid w:val="43356D0B"/>
    <w:rsid w:val="439671DC"/>
    <w:rsid w:val="43B11AFF"/>
    <w:rsid w:val="43EA1E46"/>
    <w:rsid w:val="443624F3"/>
    <w:rsid w:val="44C648D4"/>
    <w:rsid w:val="45841EA1"/>
    <w:rsid w:val="462C5BA6"/>
    <w:rsid w:val="464072D5"/>
    <w:rsid w:val="468477C5"/>
    <w:rsid w:val="46877B4D"/>
    <w:rsid w:val="46B70F02"/>
    <w:rsid w:val="473E17DA"/>
    <w:rsid w:val="47A471F2"/>
    <w:rsid w:val="47C87CF4"/>
    <w:rsid w:val="47EF0BE1"/>
    <w:rsid w:val="48406999"/>
    <w:rsid w:val="4879277C"/>
    <w:rsid w:val="488C337F"/>
    <w:rsid w:val="48B61CD1"/>
    <w:rsid w:val="499B0AFB"/>
    <w:rsid w:val="49B701AF"/>
    <w:rsid w:val="49E850B4"/>
    <w:rsid w:val="49F8667E"/>
    <w:rsid w:val="49FB0945"/>
    <w:rsid w:val="4A137B45"/>
    <w:rsid w:val="4A270D0A"/>
    <w:rsid w:val="4A9208E2"/>
    <w:rsid w:val="4A944090"/>
    <w:rsid w:val="4A950D3F"/>
    <w:rsid w:val="4BCE4E49"/>
    <w:rsid w:val="4C203E35"/>
    <w:rsid w:val="4C302B86"/>
    <w:rsid w:val="4C4B2224"/>
    <w:rsid w:val="4C617BBC"/>
    <w:rsid w:val="4C9B0458"/>
    <w:rsid w:val="4CB1550E"/>
    <w:rsid w:val="4CB73347"/>
    <w:rsid w:val="4CF91556"/>
    <w:rsid w:val="4D3F002B"/>
    <w:rsid w:val="4DA562D1"/>
    <w:rsid w:val="4DD55BA9"/>
    <w:rsid w:val="4DE87D5C"/>
    <w:rsid w:val="4E041A6B"/>
    <w:rsid w:val="4E4544ED"/>
    <w:rsid w:val="4F3372DC"/>
    <w:rsid w:val="4F41733A"/>
    <w:rsid w:val="4F437918"/>
    <w:rsid w:val="4F46335D"/>
    <w:rsid w:val="4F75675A"/>
    <w:rsid w:val="4FA72D90"/>
    <w:rsid w:val="4FD855F7"/>
    <w:rsid w:val="502654F1"/>
    <w:rsid w:val="504001BF"/>
    <w:rsid w:val="506F4A73"/>
    <w:rsid w:val="507A132F"/>
    <w:rsid w:val="50802F39"/>
    <w:rsid w:val="50A86BF5"/>
    <w:rsid w:val="51C21F19"/>
    <w:rsid w:val="52004861"/>
    <w:rsid w:val="5200494C"/>
    <w:rsid w:val="52533C8F"/>
    <w:rsid w:val="52807A68"/>
    <w:rsid w:val="529703CC"/>
    <w:rsid w:val="52B452CE"/>
    <w:rsid w:val="52FC54BA"/>
    <w:rsid w:val="533625E1"/>
    <w:rsid w:val="53436A12"/>
    <w:rsid w:val="53440751"/>
    <w:rsid w:val="534C4006"/>
    <w:rsid w:val="5374431A"/>
    <w:rsid w:val="539F14A1"/>
    <w:rsid w:val="53A06E49"/>
    <w:rsid w:val="53F17785"/>
    <w:rsid w:val="54C85BBC"/>
    <w:rsid w:val="554C3D71"/>
    <w:rsid w:val="55530E79"/>
    <w:rsid w:val="55617552"/>
    <w:rsid w:val="556266ED"/>
    <w:rsid w:val="55694BD2"/>
    <w:rsid w:val="55781B65"/>
    <w:rsid w:val="55857F46"/>
    <w:rsid w:val="55AF0D37"/>
    <w:rsid w:val="55B66369"/>
    <w:rsid w:val="564F2A08"/>
    <w:rsid w:val="57192BB7"/>
    <w:rsid w:val="572B3D34"/>
    <w:rsid w:val="57312654"/>
    <w:rsid w:val="57750CAC"/>
    <w:rsid w:val="57856698"/>
    <w:rsid w:val="578A2E69"/>
    <w:rsid w:val="57D979AD"/>
    <w:rsid w:val="5802514A"/>
    <w:rsid w:val="585168AF"/>
    <w:rsid w:val="585B49D1"/>
    <w:rsid w:val="585C1FD7"/>
    <w:rsid w:val="58C23F0F"/>
    <w:rsid w:val="590521BE"/>
    <w:rsid w:val="59584102"/>
    <w:rsid w:val="59875157"/>
    <w:rsid w:val="59A8795B"/>
    <w:rsid w:val="59AF5E30"/>
    <w:rsid w:val="59CE5E91"/>
    <w:rsid w:val="5A3023BA"/>
    <w:rsid w:val="5A5F0DD4"/>
    <w:rsid w:val="5A707A5B"/>
    <w:rsid w:val="5A9F1952"/>
    <w:rsid w:val="5AE221DF"/>
    <w:rsid w:val="5B112114"/>
    <w:rsid w:val="5B1F4B68"/>
    <w:rsid w:val="5B4B7968"/>
    <w:rsid w:val="5B9D20C1"/>
    <w:rsid w:val="5BA06A31"/>
    <w:rsid w:val="5BA60BB6"/>
    <w:rsid w:val="5C4D1476"/>
    <w:rsid w:val="5C6B20B9"/>
    <w:rsid w:val="5C89700B"/>
    <w:rsid w:val="5CC5651A"/>
    <w:rsid w:val="5CD4124A"/>
    <w:rsid w:val="5D237E7F"/>
    <w:rsid w:val="5D373EEE"/>
    <w:rsid w:val="5D3844B6"/>
    <w:rsid w:val="5D397F49"/>
    <w:rsid w:val="5D4E6C65"/>
    <w:rsid w:val="5D771973"/>
    <w:rsid w:val="5D841469"/>
    <w:rsid w:val="5DFD329C"/>
    <w:rsid w:val="5E0C1814"/>
    <w:rsid w:val="5E3F2FDC"/>
    <w:rsid w:val="5E846D89"/>
    <w:rsid w:val="5E892333"/>
    <w:rsid w:val="5ED84F62"/>
    <w:rsid w:val="5EDF42BF"/>
    <w:rsid w:val="5EF60D48"/>
    <w:rsid w:val="5EFC0B12"/>
    <w:rsid w:val="5F923884"/>
    <w:rsid w:val="5FEA69A0"/>
    <w:rsid w:val="5FEB6498"/>
    <w:rsid w:val="600B1575"/>
    <w:rsid w:val="600E43DB"/>
    <w:rsid w:val="608E4FFE"/>
    <w:rsid w:val="609A7EA9"/>
    <w:rsid w:val="60C711B3"/>
    <w:rsid w:val="60DE0631"/>
    <w:rsid w:val="61EC6C9D"/>
    <w:rsid w:val="622C21FD"/>
    <w:rsid w:val="6243539D"/>
    <w:rsid w:val="625B75A4"/>
    <w:rsid w:val="625C265E"/>
    <w:rsid w:val="628D76F6"/>
    <w:rsid w:val="629C4C5A"/>
    <w:rsid w:val="629F15A4"/>
    <w:rsid w:val="62E451D7"/>
    <w:rsid w:val="63101223"/>
    <w:rsid w:val="633820CE"/>
    <w:rsid w:val="63423644"/>
    <w:rsid w:val="639252E8"/>
    <w:rsid w:val="63BB652A"/>
    <w:rsid w:val="63C26142"/>
    <w:rsid w:val="63D05560"/>
    <w:rsid w:val="641F5AE3"/>
    <w:rsid w:val="64224077"/>
    <w:rsid w:val="64502D55"/>
    <w:rsid w:val="64545D4B"/>
    <w:rsid w:val="64656102"/>
    <w:rsid w:val="649B5634"/>
    <w:rsid w:val="64B07728"/>
    <w:rsid w:val="64CF0D77"/>
    <w:rsid w:val="64E47470"/>
    <w:rsid w:val="650760F1"/>
    <w:rsid w:val="656F45D3"/>
    <w:rsid w:val="65780403"/>
    <w:rsid w:val="65821748"/>
    <w:rsid w:val="659A2517"/>
    <w:rsid w:val="662E43E4"/>
    <w:rsid w:val="663E6CDE"/>
    <w:rsid w:val="666E38E2"/>
    <w:rsid w:val="667637E6"/>
    <w:rsid w:val="66791C7E"/>
    <w:rsid w:val="669A4E6A"/>
    <w:rsid w:val="66A04460"/>
    <w:rsid w:val="671823C6"/>
    <w:rsid w:val="67926852"/>
    <w:rsid w:val="679B5F7E"/>
    <w:rsid w:val="67BE10AC"/>
    <w:rsid w:val="67BE48EB"/>
    <w:rsid w:val="67C76BF1"/>
    <w:rsid w:val="67DD6C8E"/>
    <w:rsid w:val="682D1B74"/>
    <w:rsid w:val="688D6657"/>
    <w:rsid w:val="68956C36"/>
    <w:rsid w:val="690E7D80"/>
    <w:rsid w:val="694B68A8"/>
    <w:rsid w:val="69561BAA"/>
    <w:rsid w:val="695801BB"/>
    <w:rsid w:val="695F6CA3"/>
    <w:rsid w:val="69D65278"/>
    <w:rsid w:val="69DD48A2"/>
    <w:rsid w:val="6A057242"/>
    <w:rsid w:val="6A17698D"/>
    <w:rsid w:val="6A676861"/>
    <w:rsid w:val="6AB66B51"/>
    <w:rsid w:val="6AC01577"/>
    <w:rsid w:val="6ACF7DC8"/>
    <w:rsid w:val="6B4E59E4"/>
    <w:rsid w:val="6B6813F8"/>
    <w:rsid w:val="6C036DF5"/>
    <w:rsid w:val="6C200FA8"/>
    <w:rsid w:val="6CD742BB"/>
    <w:rsid w:val="6D0E4082"/>
    <w:rsid w:val="6D1B6BA4"/>
    <w:rsid w:val="6D653BEB"/>
    <w:rsid w:val="6DFD3015"/>
    <w:rsid w:val="6E5D2DDC"/>
    <w:rsid w:val="6E9E1715"/>
    <w:rsid w:val="6EB56F0F"/>
    <w:rsid w:val="6F032B59"/>
    <w:rsid w:val="6F510014"/>
    <w:rsid w:val="6F6624B6"/>
    <w:rsid w:val="701F19C4"/>
    <w:rsid w:val="709D7777"/>
    <w:rsid w:val="70B64E3F"/>
    <w:rsid w:val="70F62DB5"/>
    <w:rsid w:val="71016E2F"/>
    <w:rsid w:val="710C4F07"/>
    <w:rsid w:val="711F73D8"/>
    <w:rsid w:val="71606284"/>
    <w:rsid w:val="71641A0C"/>
    <w:rsid w:val="716C196C"/>
    <w:rsid w:val="71782B09"/>
    <w:rsid w:val="71980D96"/>
    <w:rsid w:val="728402D2"/>
    <w:rsid w:val="7296511A"/>
    <w:rsid w:val="72972449"/>
    <w:rsid w:val="72C87EF9"/>
    <w:rsid w:val="72E42240"/>
    <w:rsid w:val="72F43002"/>
    <w:rsid w:val="72F95E79"/>
    <w:rsid w:val="732F476E"/>
    <w:rsid w:val="734A3D8D"/>
    <w:rsid w:val="735553E0"/>
    <w:rsid w:val="7356070A"/>
    <w:rsid w:val="736E1B80"/>
    <w:rsid w:val="73A74AE5"/>
    <w:rsid w:val="73AC0A19"/>
    <w:rsid w:val="73BA45DA"/>
    <w:rsid w:val="743E3662"/>
    <w:rsid w:val="74673A40"/>
    <w:rsid w:val="74750FE4"/>
    <w:rsid w:val="74794C6D"/>
    <w:rsid w:val="749207A2"/>
    <w:rsid w:val="74B56036"/>
    <w:rsid w:val="74BE27E1"/>
    <w:rsid w:val="74BF2094"/>
    <w:rsid w:val="74C232F2"/>
    <w:rsid w:val="74C52CFC"/>
    <w:rsid w:val="74D12F17"/>
    <w:rsid w:val="7502007C"/>
    <w:rsid w:val="753D764E"/>
    <w:rsid w:val="753E66BE"/>
    <w:rsid w:val="754869B9"/>
    <w:rsid w:val="754E023F"/>
    <w:rsid w:val="7561407E"/>
    <w:rsid w:val="75713705"/>
    <w:rsid w:val="75825CAC"/>
    <w:rsid w:val="75AC445A"/>
    <w:rsid w:val="75C3725C"/>
    <w:rsid w:val="75C915A5"/>
    <w:rsid w:val="75F5156E"/>
    <w:rsid w:val="763C689A"/>
    <w:rsid w:val="765A4AC4"/>
    <w:rsid w:val="76B935AD"/>
    <w:rsid w:val="776234BE"/>
    <w:rsid w:val="77D73140"/>
    <w:rsid w:val="781E18B1"/>
    <w:rsid w:val="78207725"/>
    <w:rsid w:val="782F1DC6"/>
    <w:rsid w:val="78503E6F"/>
    <w:rsid w:val="78841E5F"/>
    <w:rsid w:val="78D5375A"/>
    <w:rsid w:val="78ED746C"/>
    <w:rsid w:val="78F73297"/>
    <w:rsid w:val="79020945"/>
    <w:rsid w:val="793A3E67"/>
    <w:rsid w:val="79B34D2A"/>
    <w:rsid w:val="7A176941"/>
    <w:rsid w:val="7ADE1AF9"/>
    <w:rsid w:val="7AF927CF"/>
    <w:rsid w:val="7B093A9E"/>
    <w:rsid w:val="7B20407B"/>
    <w:rsid w:val="7B2A0905"/>
    <w:rsid w:val="7B2D543C"/>
    <w:rsid w:val="7B851C67"/>
    <w:rsid w:val="7B943AD3"/>
    <w:rsid w:val="7BDE1C10"/>
    <w:rsid w:val="7C6F748A"/>
    <w:rsid w:val="7C8340C3"/>
    <w:rsid w:val="7C853498"/>
    <w:rsid w:val="7C981909"/>
    <w:rsid w:val="7C9A0190"/>
    <w:rsid w:val="7CA91F87"/>
    <w:rsid w:val="7CBD4D2E"/>
    <w:rsid w:val="7CD82CBF"/>
    <w:rsid w:val="7CE008FB"/>
    <w:rsid w:val="7D485CA1"/>
    <w:rsid w:val="7D5F7867"/>
    <w:rsid w:val="7D9B4C92"/>
    <w:rsid w:val="7DAE08BC"/>
    <w:rsid w:val="7DD35D47"/>
    <w:rsid w:val="7E2410BE"/>
    <w:rsid w:val="7E58437E"/>
    <w:rsid w:val="7E6479F9"/>
    <w:rsid w:val="7E6F5CFE"/>
    <w:rsid w:val="7E862E09"/>
    <w:rsid w:val="7EB72308"/>
    <w:rsid w:val="7EB7723C"/>
    <w:rsid w:val="7F404C54"/>
    <w:rsid w:val="7F5D7BCB"/>
    <w:rsid w:val="7F5E33F2"/>
    <w:rsid w:val="7FC8486D"/>
    <w:rsid w:val="7FCD3D19"/>
    <w:rsid w:val="7FEA7971"/>
    <w:rsid w:val="7FEE338D"/>
    <w:rsid w:val="7FF01F52"/>
    <w:rsid w:val="7FFC2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qFormat/>
    <w:uiPriority w:val="0"/>
    <w:rPr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9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10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11">
    <w:name w:val="List Paragraph"/>
    <w:basedOn w:val="1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1283</Words>
  <Characters>1458</Characters>
  <TotalTime>0</TotalTime>
  <ScaleCrop>false</ScaleCrop>
  <LinksUpToDate>false</LinksUpToDate>
  <CharactersWithSpaces>1469</CharactersWithSpaces>
  <Application>WPS Office_10.1.0.6747_F1E327BC-269C-435d-A152-05C5408002CA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2019-08-08T03:28:00Z</dcterms:created>
  <dc:creator>lily</dc:creator>
  <cp:lastModifiedBy>wz</cp:lastModifiedBy>
  <cp:lastPrinted>2020-11-02T07:41:00Z</cp:lastPrinted>
  <dcterms:modified xsi:type="dcterms:W3CDTF">2025-11-19T02:02:08Z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84B5908C575C440185155709D12FDCCE_13</vt:lpwstr>
  </property>
  <property fmtid="{D5CDD505-2E9C-101B-9397-08002B2CF9AE}" pid="4" name="KSOTemplateDocerSaveRecord">
    <vt:lpwstr>eyJoZGlkIjoiN2U0MTQ2NWU0ZTRmMTg3N2ZjYThmNzkyMjQ5ZDJlZDEiLCJ1c2VySWQiOiIzNDYwNTUyNjAifQ==</vt:lpwstr>
  </property>
  <property fmtid="{D5CDD505-2E9C-101B-9397-08002B2CF9AE}" pid="5" name="_KSOProductBuildMID">
    <vt:lpwstr>DQWBI68U79UQ0XHGRPRLYLKB7ZA0OXVR5X0VXJQOXGT8TECTZ0BRPCJTFYRTP56RXNMVCOLKZIX7B15655CBBC3B642A985FCAD5529E92428B</vt:lpwstr>
  </property>
  <property fmtid="{D5CDD505-2E9C-101B-9397-08002B2CF9AE}" pid="6" name="_KSOProductBuildSID">
    <vt:lpwstr>LXdLTQPTeTUPgKmz3SdwBg==</vt:lpwstr>
  </property>
</Properties>
</file>